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40" w:rsidRDefault="00104E40" w:rsidP="00104E40">
      <w:pPr>
        <w:rPr>
          <w:rFonts w:ascii="Arial" w:hAnsi="Arial" w:cs="Arial"/>
          <w:b/>
          <w:sz w:val="28"/>
          <w:szCs w:val="28"/>
          <w:u w:val="single"/>
        </w:rPr>
      </w:pPr>
      <w:r w:rsidRPr="00C417A0">
        <w:rPr>
          <w:rFonts w:ascii="Arial" w:hAnsi="Arial" w:cs="Arial"/>
          <w:b/>
          <w:sz w:val="28"/>
          <w:szCs w:val="28"/>
          <w:u w:val="single"/>
        </w:rPr>
        <w:t>Key facts about adults, carers and their families in Sutton</w:t>
      </w:r>
      <w:r>
        <w:rPr>
          <w:rFonts w:ascii="Arial" w:hAnsi="Arial" w:cs="Arial"/>
          <w:b/>
          <w:sz w:val="28"/>
          <w:szCs w:val="28"/>
          <w:u w:val="single"/>
        </w:rPr>
        <w:t xml:space="preserve"> </w:t>
      </w:r>
    </w:p>
    <w:p w:rsidR="00104E40" w:rsidRPr="005C665E" w:rsidRDefault="00104E40" w:rsidP="00104E40">
      <w:pPr>
        <w:rPr>
          <w:rFonts w:ascii="Arial" w:eastAsia="Times New Roman" w:hAnsi="Arial" w:cs="Arial"/>
          <w:b/>
          <w:lang w:eastAsia="en-GB"/>
        </w:rPr>
      </w:pPr>
      <w:r w:rsidRPr="005C665E">
        <w:rPr>
          <w:rFonts w:ascii="Arial" w:eastAsia="Times New Roman" w:hAnsi="Arial" w:cs="Arial"/>
          <w:b/>
          <w:lang w:eastAsia="en-GB"/>
        </w:rPr>
        <w:t>Background to Sutton (Census 2011)</w:t>
      </w:r>
    </w:p>
    <w:p w:rsidR="00104E40" w:rsidRPr="005C665E" w:rsidRDefault="00104E40" w:rsidP="00104E40">
      <w:pPr>
        <w:pStyle w:val="ListParagraph"/>
        <w:numPr>
          <w:ilvl w:val="0"/>
          <w:numId w:val="1"/>
        </w:numPr>
        <w:spacing w:before="120" w:after="120" w:line="276" w:lineRule="auto"/>
        <w:jc w:val="both"/>
        <w:rPr>
          <w:rFonts w:cs="Arial"/>
          <w:sz w:val="22"/>
          <w:szCs w:val="22"/>
        </w:rPr>
      </w:pPr>
      <w:r w:rsidRPr="005C665E">
        <w:rPr>
          <w:rFonts w:cs="Arial"/>
          <w:sz w:val="22"/>
          <w:szCs w:val="22"/>
        </w:rPr>
        <w:t>In the 2011 UK Census, Sutton had a total population figure of 190,146 and the Office for National Statistics (ONS) projects that the population will rise to 218,000 (15%) by 2021</w:t>
      </w:r>
    </w:p>
    <w:p w:rsidR="00104E40" w:rsidRPr="005C665E" w:rsidRDefault="00104E40" w:rsidP="00104E40">
      <w:pPr>
        <w:pStyle w:val="ListParagraph"/>
        <w:numPr>
          <w:ilvl w:val="0"/>
          <w:numId w:val="1"/>
        </w:numPr>
        <w:spacing w:before="120" w:after="120" w:line="276" w:lineRule="auto"/>
        <w:jc w:val="both"/>
        <w:rPr>
          <w:rFonts w:cs="Arial"/>
          <w:sz w:val="22"/>
          <w:szCs w:val="22"/>
        </w:rPr>
      </w:pPr>
      <w:r w:rsidRPr="005C665E">
        <w:rPr>
          <w:rFonts w:cs="Arial"/>
          <w:sz w:val="22"/>
          <w:szCs w:val="22"/>
        </w:rPr>
        <w:t>The age profile of the population is also increasing as over 65 year olds make up about 14.3% of the total population of Sutton at the time of the Census and this figure is projected to rise by 25% in 202. This is also similar to other London Councils but slightly different for England as a whole</w:t>
      </w:r>
    </w:p>
    <w:p w:rsidR="00104E40" w:rsidRPr="005C665E" w:rsidRDefault="00104E40" w:rsidP="00104E40">
      <w:pPr>
        <w:pStyle w:val="ListParagraph"/>
        <w:numPr>
          <w:ilvl w:val="0"/>
          <w:numId w:val="1"/>
        </w:numPr>
        <w:spacing w:before="120" w:after="120" w:line="276" w:lineRule="auto"/>
        <w:jc w:val="both"/>
        <w:rPr>
          <w:rFonts w:cs="Arial"/>
          <w:sz w:val="22"/>
          <w:szCs w:val="22"/>
        </w:rPr>
      </w:pPr>
      <w:r w:rsidRPr="005C665E">
        <w:rPr>
          <w:rFonts w:cs="Arial"/>
          <w:sz w:val="22"/>
          <w:szCs w:val="22"/>
        </w:rPr>
        <w:t>The extent of diversity has also increased mover the last five to ten years with emerging Polish, Urdu and Tamil communities within the Borough. Sutton has a number of diverse communities which constitute about 29% of Sutton’s population, making Sutton’s profile similar to the rest of London.</w:t>
      </w:r>
    </w:p>
    <w:p w:rsidR="00104E40" w:rsidRPr="00E0492A" w:rsidRDefault="00104E40" w:rsidP="00104E40">
      <w:pPr>
        <w:pStyle w:val="ListParagraph"/>
        <w:numPr>
          <w:ilvl w:val="0"/>
          <w:numId w:val="1"/>
        </w:numPr>
        <w:spacing w:before="120" w:after="120" w:line="276" w:lineRule="auto"/>
        <w:jc w:val="both"/>
        <w:rPr>
          <w:rFonts w:cs="Arial"/>
          <w:sz w:val="22"/>
          <w:szCs w:val="22"/>
        </w:rPr>
      </w:pPr>
      <w:r w:rsidRPr="005C665E">
        <w:rPr>
          <w:rFonts w:cs="Arial"/>
          <w:sz w:val="22"/>
          <w:szCs w:val="22"/>
        </w:rPr>
        <w:t>The number of people in Sutton who reported that they were providing unpaid care rose to 18,300 in 2011, a 13.4% increase on the total for 2001 of 16,100.  Over 3,600 of Sutton’s current carers are providing 50 hours of more care per week.</w:t>
      </w:r>
    </w:p>
    <w:p w:rsidR="00104E40" w:rsidRDefault="00104E40" w:rsidP="00104E40">
      <w:pPr>
        <w:spacing w:before="120" w:after="120"/>
        <w:jc w:val="both"/>
        <w:rPr>
          <w:rFonts w:ascii="Arial" w:eastAsia="Times New Roman" w:hAnsi="Arial" w:cs="Arial"/>
          <w:b/>
          <w:lang w:eastAsia="en-GB"/>
        </w:rPr>
      </w:pPr>
      <w:r w:rsidRPr="002B0FB7">
        <w:rPr>
          <w:rFonts w:ascii="Arial" w:eastAsia="Times New Roman" w:hAnsi="Arial" w:cs="Arial"/>
          <w:b/>
          <w:lang w:eastAsia="en-GB"/>
        </w:rPr>
        <w:t>Our Commitment</w:t>
      </w:r>
    </w:p>
    <w:p w:rsidR="00104E40" w:rsidRDefault="00104E40" w:rsidP="00104E40">
      <w:pPr>
        <w:spacing w:before="120" w:after="120"/>
        <w:jc w:val="both"/>
        <w:rPr>
          <w:rFonts w:ascii="Arial" w:eastAsia="Times New Roman" w:hAnsi="Arial" w:cs="Arial"/>
          <w:lang w:eastAsia="en-GB"/>
        </w:rPr>
      </w:pPr>
      <w:r>
        <w:rPr>
          <w:rFonts w:ascii="Arial" w:eastAsia="Times New Roman" w:hAnsi="Arial" w:cs="Arial"/>
          <w:lang w:eastAsia="en-GB"/>
        </w:rPr>
        <w:t>London Borough of Sutton is committed to delivering the highest quality of services to adult residents who have care and support needs. We are proud of the way we work with our residents, the NHS, the voluntary sector and the wider community. The Adult Social Care service within the People Directorate is responsible for the following functions:</w:t>
      </w:r>
    </w:p>
    <w:p w:rsidR="00104E40" w:rsidRDefault="00104E40" w:rsidP="00104E40">
      <w:pPr>
        <w:pStyle w:val="ListParagraph"/>
        <w:numPr>
          <w:ilvl w:val="0"/>
          <w:numId w:val="3"/>
        </w:numPr>
        <w:spacing w:before="120" w:after="120" w:line="276" w:lineRule="auto"/>
        <w:jc w:val="both"/>
        <w:rPr>
          <w:rFonts w:cs="Arial"/>
          <w:sz w:val="22"/>
          <w:szCs w:val="22"/>
        </w:rPr>
      </w:pPr>
      <w:r>
        <w:rPr>
          <w:rFonts w:cs="Arial"/>
          <w:sz w:val="22"/>
          <w:szCs w:val="22"/>
        </w:rPr>
        <w:t>Meeting the social care needs of the adult population</w:t>
      </w:r>
    </w:p>
    <w:p w:rsidR="00104E40" w:rsidRDefault="00104E40" w:rsidP="00104E40">
      <w:pPr>
        <w:pStyle w:val="ListParagraph"/>
        <w:numPr>
          <w:ilvl w:val="0"/>
          <w:numId w:val="3"/>
        </w:numPr>
        <w:spacing w:before="120" w:after="120" w:line="276" w:lineRule="auto"/>
        <w:jc w:val="both"/>
        <w:rPr>
          <w:rFonts w:cs="Arial"/>
          <w:sz w:val="22"/>
          <w:szCs w:val="22"/>
        </w:rPr>
      </w:pPr>
      <w:r>
        <w:rPr>
          <w:rFonts w:cs="Arial"/>
          <w:sz w:val="22"/>
          <w:szCs w:val="22"/>
        </w:rPr>
        <w:t>Public Health</w:t>
      </w:r>
    </w:p>
    <w:p w:rsidR="00104E40" w:rsidRDefault="00104E40" w:rsidP="00104E40">
      <w:pPr>
        <w:pStyle w:val="ListParagraph"/>
        <w:numPr>
          <w:ilvl w:val="0"/>
          <w:numId w:val="3"/>
        </w:numPr>
        <w:spacing w:before="120" w:after="120" w:line="276" w:lineRule="auto"/>
        <w:jc w:val="both"/>
        <w:rPr>
          <w:rFonts w:cs="Arial"/>
          <w:sz w:val="22"/>
          <w:szCs w:val="22"/>
        </w:rPr>
      </w:pPr>
      <w:r>
        <w:rPr>
          <w:rFonts w:cs="Arial"/>
          <w:sz w:val="22"/>
          <w:szCs w:val="22"/>
        </w:rPr>
        <w:t>Leading on partnership with health services</w:t>
      </w:r>
    </w:p>
    <w:p w:rsidR="00104E40" w:rsidRDefault="00104E40" w:rsidP="00104E40">
      <w:pPr>
        <w:spacing w:before="120" w:after="120"/>
        <w:jc w:val="both"/>
        <w:rPr>
          <w:rFonts w:ascii="Arial" w:eastAsia="Times New Roman" w:hAnsi="Arial" w:cs="Arial"/>
          <w:b/>
          <w:lang w:eastAsia="en-GB"/>
        </w:rPr>
      </w:pPr>
    </w:p>
    <w:p w:rsidR="00104E40" w:rsidRPr="007A52A3" w:rsidRDefault="00104E40" w:rsidP="00104E40">
      <w:pPr>
        <w:spacing w:before="120" w:after="120"/>
        <w:jc w:val="both"/>
        <w:rPr>
          <w:rFonts w:ascii="Arial" w:eastAsia="Times New Roman" w:hAnsi="Arial" w:cs="Arial"/>
          <w:b/>
          <w:lang w:eastAsia="en-GB"/>
        </w:rPr>
      </w:pPr>
      <w:r w:rsidRPr="007A52A3">
        <w:rPr>
          <w:rFonts w:ascii="Arial" w:eastAsia="Times New Roman" w:hAnsi="Arial" w:cs="Arial"/>
          <w:b/>
          <w:lang w:eastAsia="en-GB"/>
        </w:rPr>
        <w:t>Our strategic priorities for Adult Social Services in Sutton remain:</w:t>
      </w:r>
    </w:p>
    <w:p w:rsidR="00104E40" w:rsidRDefault="00104E40" w:rsidP="00104E40">
      <w:pPr>
        <w:pStyle w:val="ListParagraph"/>
        <w:numPr>
          <w:ilvl w:val="0"/>
          <w:numId w:val="4"/>
        </w:numPr>
        <w:spacing w:before="120" w:after="120" w:line="276" w:lineRule="auto"/>
        <w:jc w:val="both"/>
        <w:rPr>
          <w:rFonts w:cs="Arial"/>
          <w:sz w:val="22"/>
          <w:szCs w:val="22"/>
        </w:rPr>
      </w:pPr>
      <w:r>
        <w:rPr>
          <w:rFonts w:cs="Arial"/>
          <w:sz w:val="22"/>
          <w:szCs w:val="22"/>
        </w:rPr>
        <w:t>Embed the personalisation of adult social services within the council and promote the suppliers adopting person centred services</w:t>
      </w:r>
    </w:p>
    <w:p w:rsidR="00104E40" w:rsidRDefault="00104E40" w:rsidP="00104E40">
      <w:pPr>
        <w:pStyle w:val="ListParagraph"/>
        <w:numPr>
          <w:ilvl w:val="0"/>
          <w:numId w:val="4"/>
        </w:numPr>
        <w:spacing w:before="120" w:after="120" w:line="276" w:lineRule="auto"/>
        <w:jc w:val="both"/>
        <w:rPr>
          <w:rFonts w:cs="Arial"/>
          <w:sz w:val="22"/>
          <w:szCs w:val="22"/>
        </w:rPr>
      </w:pPr>
      <w:r>
        <w:rPr>
          <w:rFonts w:cs="Arial"/>
          <w:sz w:val="22"/>
          <w:szCs w:val="22"/>
        </w:rPr>
        <w:t>The continued modernisation of the council’s adult social services that reduces direct provision</w:t>
      </w:r>
    </w:p>
    <w:p w:rsidR="00104E40" w:rsidRDefault="00104E40" w:rsidP="00104E40">
      <w:pPr>
        <w:pStyle w:val="ListParagraph"/>
        <w:numPr>
          <w:ilvl w:val="0"/>
          <w:numId w:val="4"/>
        </w:numPr>
        <w:spacing w:before="120" w:after="120" w:line="276" w:lineRule="auto"/>
        <w:jc w:val="both"/>
        <w:rPr>
          <w:rFonts w:cs="Arial"/>
          <w:sz w:val="22"/>
          <w:szCs w:val="22"/>
        </w:rPr>
      </w:pPr>
      <w:r>
        <w:rPr>
          <w:rFonts w:cs="Arial"/>
          <w:sz w:val="22"/>
          <w:szCs w:val="22"/>
        </w:rPr>
        <w:t>Ensuring adult safeguarding remains central to all aspects of adult social services delivery both within the council and in partner organisations</w:t>
      </w:r>
    </w:p>
    <w:p w:rsidR="00104E40" w:rsidRPr="002B0FB7" w:rsidRDefault="00104E40" w:rsidP="00104E40">
      <w:pPr>
        <w:pStyle w:val="ListParagraph"/>
        <w:numPr>
          <w:ilvl w:val="0"/>
          <w:numId w:val="4"/>
        </w:numPr>
        <w:spacing w:before="120" w:after="120" w:line="276" w:lineRule="auto"/>
        <w:jc w:val="both"/>
        <w:rPr>
          <w:rFonts w:cs="Arial"/>
          <w:sz w:val="22"/>
          <w:szCs w:val="22"/>
        </w:rPr>
      </w:pPr>
      <w:r>
        <w:rPr>
          <w:rFonts w:cs="Arial"/>
          <w:sz w:val="22"/>
          <w:szCs w:val="22"/>
        </w:rPr>
        <w:t>Develop community resilience and capacity that promotes support networks for residents and improves the quality of outcomes for those with disabilities and illness to make them feel safer.</w:t>
      </w:r>
    </w:p>
    <w:p w:rsidR="00104E40" w:rsidRDefault="00104E40" w:rsidP="00104E40">
      <w:pPr>
        <w:spacing w:before="120" w:after="120"/>
        <w:jc w:val="both"/>
        <w:rPr>
          <w:rFonts w:ascii="Arial" w:eastAsia="Times New Roman" w:hAnsi="Arial" w:cs="Arial"/>
          <w:lang w:eastAsia="en-GB"/>
        </w:rPr>
      </w:pPr>
    </w:p>
    <w:p w:rsidR="00104E40" w:rsidRDefault="00104E40" w:rsidP="00104E40">
      <w:pPr>
        <w:spacing w:before="120" w:after="120"/>
        <w:jc w:val="both"/>
        <w:rPr>
          <w:rFonts w:ascii="Arial" w:eastAsia="Times New Roman" w:hAnsi="Arial" w:cs="Arial"/>
          <w:b/>
          <w:lang w:eastAsia="en-GB"/>
        </w:rPr>
      </w:pPr>
    </w:p>
    <w:p w:rsidR="00104E40" w:rsidRPr="007A6305" w:rsidRDefault="00104E40" w:rsidP="00104E40">
      <w:pPr>
        <w:spacing w:before="120" w:after="120"/>
        <w:jc w:val="both"/>
        <w:rPr>
          <w:rFonts w:ascii="Arial" w:eastAsia="Times New Roman" w:hAnsi="Arial" w:cs="Arial"/>
          <w:b/>
          <w:lang w:eastAsia="en-GB"/>
        </w:rPr>
      </w:pPr>
      <w:r>
        <w:rPr>
          <w:rFonts w:ascii="Arial" w:eastAsia="Times New Roman" w:hAnsi="Arial" w:cs="Arial"/>
          <w:b/>
          <w:lang w:eastAsia="en-GB"/>
        </w:rPr>
        <w:t>Adult Social Care Performance in Sutton 2013/14</w:t>
      </w:r>
    </w:p>
    <w:p w:rsidR="00104E40" w:rsidRDefault="00104E40" w:rsidP="00104E40">
      <w:pPr>
        <w:pStyle w:val="ListParagraph"/>
        <w:numPr>
          <w:ilvl w:val="0"/>
          <w:numId w:val="2"/>
        </w:numPr>
        <w:spacing w:before="120" w:after="120" w:line="276" w:lineRule="auto"/>
        <w:jc w:val="both"/>
        <w:rPr>
          <w:rFonts w:cs="Arial"/>
          <w:sz w:val="22"/>
          <w:szCs w:val="22"/>
        </w:rPr>
      </w:pPr>
      <w:r w:rsidRPr="007A6305">
        <w:rPr>
          <w:rFonts w:cs="Arial"/>
          <w:sz w:val="22"/>
          <w:szCs w:val="22"/>
        </w:rPr>
        <w:lastRenderedPageBreak/>
        <w:t>At the end of 2013</w:t>
      </w:r>
      <w:r>
        <w:rPr>
          <w:rFonts w:cs="Arial"/>
          <w:sz w:val="22"/>
          <w:szCs w:val="22"/>
        </w:rPr>
        <w:t xml:space="preserve">/14, the council supported 3822 people and over 70% of this number were aged 65 years and above. In Sutton, we aim to ensure residents live independently in their homes for as long as possible. We also supported </w:t>
      </w:r>
      <w:r w:rsidRPr="002B0FB7">
        <w:rPr>
          <w:rFonts w:cs="Arial"/>
          <w:sz w:val="22"/>
          <w:szCs w:val="22"/>
        </w:rPr>
        <w:t xml:space="preserve">1500 people to live and receive care and support in their homes and communities. </w:t>
      </w:r>
    </w:p>
    <w:p w:rsidR="00104E40" w:rsidRDefault="00104E40" w:rsidP="00104E40">
      <w:pPr>
        <w:pStyle w:val="ListParagraph"/>
        <w:numPr>
          <w:ilvl w:val="0"/>
          <w:numId w:val="2"/>
        </w:numPr>
        <w:spacing w:before="120" w:after="120" w:line="276" w:lineRule="auto"/>
        <w:jc w:val="both"/>
        <w:rPr>
          <w:rFonts w:cs="Arial"/>
          <w:sz w:val="22"/>
          <w:szCs w:val="22"/>
        </w:rPr>
      </w:pPr>
      <w:r>
        <w:rPr>
          <w:rFonts w:cs="Arial"/>
          <w:sz w:val="22"/>
          <w:szCs w:val="22"/>
        </w:rPr>
        <w:t>We ensured that about 92.6 per cent of the people we supported had a personal budget which far exceeds the national target set at 70%. Also, 23.2 per cent of the people we support were in receipt of a Direct Payment.</w:t>
      </w:r>
    </w:p>
    <w:p w:rsidR="00104E40" w:rsidRDefault="00104E40" w:rsidP="00104E40">
      <w:pPr>
        <w:pStyle w:val="ListParagraph"/>
        <w:numPr>
          <w:ilvl w:val="0"/>
          <w:numId w:val="2"/>
        </w:numPr>
        <w:spacing w:before="120" w:after="120" w:line="276" w:lineRule="auto"/>
        <w:jc w:val="both"/>
        <w:rPr>
          <w:rFonts w:cs="Arial"/>
          <w:sz w:val="22"/>
          <w:szCs w:val="22"/>
        </w:rPr>
      </w:pPr>
      <w:r>
        <w:rPr>
          <w:rFonts w:cs="Arial"/>
          <w:sz w:val="22"/>
          <w:szCs w:val="22"/>
        </w:rPr>
        <w:t>We carried out 676 Carer’s assessment and completed nearly 2500 reviews for service users in 2013/14</w:t>
      </w:r>
    </w:p>
    <w:p w:rsidR="00104E40" w:rsidRDefault="00104E40" w:rsidP="00104E40">
      <w:pPr>
        <w:pStyle w:val="ListParagraph"/>
        <w:numPr>
          <w:ilvl w:val="0"/>
          <w:numId w:val="2"/>
        </w:numPr>
        <w:spacing w:before="120" w:after="120" w:line="276" w:lineRule="auto"/>
        <w:jc w:val="both"/>
        <w:rPr>
          <w:rFonts w:cs="Arial"/>
          <w:sz w:val="22"/>
          <w:szCs w:val="22"/>
        </w:rPr>
      </w:pPr>
      <w:r>
        <w:rPr>
          <w:rFonts w:cs="Arial"/>
          <w:sz w:val="22"/>
          <w:szCs w:val="22"/>
        </w:rPr>
        <w:t xml:space="preserve">Sutton has strong adult safeguarding procedures and we have been effective in working with our partners and residents on raising awareness around safeguarding. As a result, we received 1283 safeguarding alerts; 355 of these alerts were investigated to protect adults from abuse. </w:t>
      </w:r>
    </w:p>
    <w:p w:rsidR="00104E40" w:rsidRDefault="00104E40" w:rsidP="00104E40">
      <w:pPr>
        <w:spacing w:before="120" w:after="120"/>
        <w:jc w:val="both"/>
        <w:rPr>
          <w:rFonts w:cs="Arial"/>
        </w:rPr>
      </w:pPr>
    </w:p>
    <w:p w:rsidR="00104E40" w:rsidRDefault="00104E40" w:rsidP="00104E40">
      <w:pPr>
        <w:spacing w:before="120" w:after="120"/>
        <w:jc w:val="both"/>
        <w:rPr>
          <w:rFonts w:ascii="Arial" w:eastAsia="Times New Roman" w:hAnsi="Arial" w:cs="Arial"/>
          <w:b/>
          <w:lang w:eastAsia="en-GB"/>
        </w:rPr>
      </w:pPr>
      <w:r w:rsidRPr="003A44B4">
        <w:rPr>
          <w:rFonts w:ascii="Arial" w:eastAsia="Times New Roman" w:hAnsi="Arial" w:cs="Arial"/>
          <w:b/>
          <w:lang w:eastAsia="en-GB"/>
        </w:rPr>
        <w:t>Sutton’s Health and Wellbeing Data</w:t>
      </w:r>
    </w:p>
    <w:p w:rsidR="00104E40" w:rsidRDefault="00104E40" w:rsidP="00104E40">
      <w:pPr>
        <w:spacing w:before="120" w:after="120"/>
        <w:jc w:val="both"/>
        <w:rPr>
          <w:rFonts w:ascii="Arial" w:eastAsia="Times New Roman" w:hAnsi="Arial" w:cs="Arial"/>
          <w:lang w:eastAsia="en-GB"/>
        </w:rPr>
      </w:pPr>
      <w:r>
        <w:rPr>
          <w:rFonts w:ascii="Arial" w:eastAsia="Times New Roman" w:hAnsi="Arial" w:cs="Arial"/>
          <w:lang w:eastAsia="en-GB"/>
        </w:rPr>
        <w:t xml:space="preserve">As part of the changes in the NHS, the Public Health role moved from the NHS to </w:t>
      </w:r>
      <w:proofErr w:type="spellStart"/>
      <w:proofErr w:type="gramStart"/>
      <w:r>
        <w:rPr>
          <w:rFonts w:ascii="Arial" w:eastAsia="Times New Roman" w:hAnsi="Arial" w:cs="Arial"/>
          <w:lang w:eastAsia="en-GB"/>
        </w:rPr>
        <w:t>he</w:t>
      </w:r>
      <w:proofErr w:type="spellEnd"/>
      <w:proofErr w:type="gramEnd"/>
      <w:r>
        <w:rPr>
          <w:rFonts w:ascii="Arial" w:eastAsia="Times New Roman" w:hAnsi="Arial" w:cs="Arial"/>
          <w:lang w:eastAsia="en-GB"/>
        </w:rPr>
        <w:t xml:space="preserve"> Council in April 2013. The service works closely with Adult Social Services to ensure that public health services are effectively delivered and targeted. Sutton’s Joint Strategic Needs Assessment (JSNA) records relevant information about our residents’ health and wellbeing and what can be done to improve it. Some of the key outcomes from the JSNA include:</w:t>
      </w:r>
    </w:p>
    <w:p w:rsidR="00104E40" w:rsidRDefault="00104E40" w:rsidP="00104E40">
      <w:pPr>
        <w:pStyle w:val="ListParagraph"/>
        <w:numPr>
          <w:ilvl w:val="0"/>
          <w:numId w:val="5"/>
        </w:numPr>
        <w:spacing w:before="120" w:after="120" w:line="276" w:lineRule="auto"/>
        <w:jc w:val="both"/>
        <w:rPr>
          <w:rFonts w:cs="Arial"/>
          <w:sz w:val="22"/>
          <w:szCs w:val="22"/>
        </w:rPr>
      </w:pPr>
      <w:r w:rsidRPr="003A44B4">
        <w:rPr>
          <w:rFonts w:cs="Arial"/>
          <w:sz w:val="22"/>
          <w:szCs w:val="22"/>
        </w:rPr>
        <w:t xml:space="preserve">Sutton has a </w:t>
      </w:r>
      <w:r>
        <w:rPr>
          <w:rFonts w:cs="Arial"/>
          <w:sz w:val="22"/>
          <w:szCs w:val="22"/>
        </w:rPr>
        <w:t>higher life expectancy than the England average for both males (80.5) and females (84).</w:t>
      </w:r>
    </w:p>
    <w:p w:rsidR="00104E40"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Fewer people killed or seriously injured on the road</w:t>
      </w:r>
    </w:p>
    <w:p w:rsidR="00104E40"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Higher percentage of physically fit adults</w:t>
      </w:r>
    </w:p>
    <w:p w:rsidR="00104E40"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Few alcohol related admissions to hospitals</w:t>
      </w:r>
    </w:p>
    <w:p w:rsidR="00104E40"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Lower rate of mortality from causes considered as preventable including cardiovascular disease (those aged under 75)</w:t>
      </w:r>
    </w:p>
    <w:p w:rsidR="00104E40"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Good overall educational attainment</w:t>
      </w:r>
    </w:p>
    <w:p w:rsidR="00104E40" w:rsidRPr="003A44B4" w:rsidRDefault="00104E40" w:rsidP="00104E40">
      <w:pPr>
        <w:pStyle w:val="ListParagraph"/>
        <w:numPr>
          <w:ilvl w:val="0"/>
          <w:numId w:val="5"/>
        </w:numPr>
        <w:spacing w:before="120" w:after="120" w:line="276" w:lineRule="auto"/>
        <w:jc w:val="both"/>
        <w:rPr>
          <w:rFonts w:cs="Arial"/>
          <w:sz w:val="22"/>
          <w:szCs w:val="22"/>
        </w:rPr>
      </w:pPr>
      <w:r>
        <w:rPr>
          <w:rFonts w:cs="Arial"/>
          <w:sz w:val="22"/>
          <w:szCs w:val="22"/>
        </w:rPr>
        <w:t>Lower long-term unemployment rates compared to national and regional rates.</w:t>
      </w:r>
    </w:p>
    <w:p w:rsidR="00104E40" w:rsidRDefault="00104E40" w:rsidP="00104E40">
      <w:pPr>
        <w:pStyle w:val="ListParagraph"/>
        <w:overflowPunct/>
        <w:autoSpaceDE/>
        <w:autoSpaceDN/>
        <w:adjustRightInd/>
        <w:spacing w:before="120" w:after="120" w:line="276" w:lineRule="auto"/>
        <w:ind w:left="714"/>
        <w:jc w:val="both"/>
        <w:textAlignment w:val="auto"/>
        <w:rPr>
          <w:rFonts w:cs="Arial"/>
          <w:sz w:val="22"/>
          <w:szCs w:val="22"/>
        </w:rPr>
      </w:pPr>
    </w:p>
    <w:p w:rsidR="00104E40" w:rsidRDefault="00104E40" w:rsidP="00104E40">
      <w:pPr>
        <w:pStyle w:val="ListParagraph"/>
        <w:overflowPunct/>
        <w:autoSpaceDE/>
        <w:autoSpaceDN/>
        <w:adjustRightInd/>
        <w:spacing w:before="120" w:after="120" w:line="276" w:lineRule="auto"/>
        <w:ind w:left="714"/>
        <w:jc w:val="both"/>
        <w:textAlignment w:val="auto"/>
        <w:rPr>
          <w:rFonts w:cs="Arial"/>
          <w:sz w:val="22"/>
          <w:szCs w:val="22"/>
        </w:rPr>
      </w:pPr>
    </w:p>
    <w:p w:rsidR="00104E40" w:rsidRDefault="00104E40" w:rsidP="00104E40">
      <w:pPr>
        <w:pStyle w:val="ListParagraph"/>
        <w:overflowPunct/>
        <w:autoSpaceDE/>
        <w:autoSpaceDN/>
        <w:adjustRightInd/>
        <w:spacing w:before="120" w:after="120" w:line="276" w:lineRule="auto"/>
        <w:ind w:left="714"/>
        <w:jc w:val="both"/>
        <w:textAlignment w:val="auto"/>
        <w:rPr>
          <w:rFonts w:cs="Arial"/>
          <w:sz w:val="22"/>
          <w:szCs w:val="22"/>
        </w:rPr>
      </w:pPr>
    </w:p>
    <w:p w:rsidR="00820190" w:rsidRDefault="00820190"/>
    <w:sectPr w:rsidR="00820190" w:rsidSect="008201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BE7"/>
    <w:multiLevelType w:val="hybridMultilevel"/>
    <w:tmpl w:val="9370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E0035D"/>
    <w:multiLevelType w:val="hybridMultilevel"/>
    <w:tmpl w:val="497E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351FB3"/>
    <w:multiLevelType w:val="hybridMultilevel"/>
    <w:tmpl w:val="7E7A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D7AEC"/>
    <w:multiLevelType w:val="hybridMultilevel"/>
    <w:tmpl w:val="2BD6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44376D"/>
    <w:multiLevelType w:val="hybridMultilevel"/>
    <w:tmpl w:val="2372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4E40"/>
    <w:rsid w:val="00104E40"/>
    <w:rsid w:val="00820190"/>
    <w:rsid w:val="00847FD3"/>
    <w:rsid w:val="008D43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4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40"/>
    <w:pPr>
      <w:overflowPunct w:val="0"/>
      <w:autoSpaceDE w:val="0"/>
      <w:autoSpaceDN w:val="0"/>
      <w:adjustRightInd w:val="0"/>
      <w:spacing w:after="0" w:line="240" w:lineRule="auto"/>
      <w:ind w:left="720"/>
      <w:textAlignment w:val="baseline"/>
    </w:pPr>
    <w:rPr>
      <w:rFonts w:ascii="Arial" w:eastAsia="Times New Roman" w:hAnsi="Arial" w:cs="Times New Roman"/>
      <w:sz w:val="24"/>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Company>London Borough of Sutton</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helengibbs</dc:creator>
  <cp:keywords/>
  <dc:description/>
  <cp:lastModifiedBy>helengibbs</cp:lastModifiedBy>
  <cp:revision>1</cp:revision>
  <dcterms:created xsi:type="dcterms:W3CDTF">2015-06-02T13:18:00Z</dcterms:created>
  <dcterms:modified xsi:type="dcterms:W3CDTF">2015-06-02T13:18:00Z</dcterms:modified>
</cp:coreProperties>
</file>