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ind w:left="2160" w:firstLine="720"/>
        <w:rPr>
          <w:rFonts w:ascii="Helvetica" w:cs="Helvetica" w:eastAsia="Helvetica" w:hAnsi="Helvetica"/>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-571499</wp:posOffset>
                </wp:positionH>
                <wp:positionV relativeFrom="paragraph">
                  <wp:posOffset>-228599</wp:posOffset>
                </wp:positionV>
                <wp:extent cx="6743700" cy="457200"/>
                <wp:effectExtent b="0" l="0" r="0" t="0"/>
                <wp:wrapNone/>
                <wp:docPr id="2" name=""/>
                <a:graphic>
                  <a:graphicData uri="http://schemas.microsoft.com/office/word/2010/wordprocessingShape">
                    <wps:wsp>
                      <wps:cNvSpPr/>
                      <wps:cNvPr id="6" name="Shape 6"/>
                      <wps:spPr>
                        <a:xfrm>
                          <a:off x="1974150" y="3551400"/>
                          <a:ext cx="6743700" cy="457200"/>
                        </a:xfrm>
                        <a:prstGeom prst="rect">
                          <a:avLst/>
                        </a:prstGeom>
                        <a:solidFill>
                          <a:srgbClr val="33996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-571499</wp:posOffset>
                </wp:positionH>
                <wp:positionV relativeFrom="paragraph">
                  <wp:posOffset>-228599</wp:posOffset>
                </wp:positionV>
                <wp:extent cx="6743700" cy="457200"/>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743700" cy="457200"/>
                        </a:xfrm>
                        <a:prstGeom prst="rect"/>
                        <a:ln/>
                      </pic:spPr>
                    </pic:pic>
                  </a:graphicData>
                </a:graphic>
              </wp:anchor>
            </w:drawing>
          </mc:Fallback>
        </mc:AlternateContent>
      </w:r>
    </w:p>
    <w:p w:rsidR="00000000" w:rsidDel="00000000" w:rsidP="00000000" w:rsidRDefault="00000000" w:rsidRPr="00000000" w14:paraId="00000002">
      <w:pPr>
        <w:pageBreakBefore w:val="0"/>
        <w:ind w:left="2160" w:firstLine="720"/>
        <w:rPr>
          <w:rFonts w:ascii="Helvetica" w:cs="Helvetica" w:eastAsia="Helvetica" w:hAnsi="Helvetica"/>
          <w:color w:val="c0c0c0"/>
          <w:sz w:val="52"/>
          <w:szCs w:val="52"/>
          <w:vertAlign w:val="baseline"/>
        </w:rPr>
      </w:pPr>
      <w:r w:rsidDel="00000000" w:rsidR="00000000" w:rsidRPr="00000000">
        <w:rPr>
          <w:rtl w:val="0"/>
        </w:rPr>
      </w:r>
    </w:p>
    <w:p w:rsidR="00000000" w:rsidDel="00000000" w:rsidP="00000000" w:rsidRDefault="00000000" w:rsidRPr="00000000" w14:paraId="00000003">
      <w:pPr>
        <w:pageBreakBefore w:val="0"/>
        <w:spacing w:line="480" w:lineRule="auto"/>
        <w:ind w:left="360" w:firstLine="0"/>
        <w:jc w:val="center"/>
        <w:rPr>
          <w:rFonts w:ascii="Helvetica" w:cs="Helvetica" w:eastAsia="Helvetica" w:hAnsi="Helvetica"/>
          <w:b w:val="1"/>
          <w:sz w:val="56"/>
          <w:szCs w:val="56"/>
          <w:vertAlign w:val="baseline"/>
        </w:rPr>
      </w:pPr>
      <w:r w:rsidDel="00000000" w:rsidR="00000000" w:rsidRPr="00000000">
        <w:rPr>
          <w:rFonts w:ascii="Helvetica" w:cs="Helvetica" w:eastAsia="Helvetica" w:hAnsi="Helvetica"/>
          <w:b w:val="1"/>
          <w:sz w:val="56"/>
          <w:szCs w:val="56"/>
          <w:vertAlign w:val="baseline"/>
          <w:rtl w:val="0"/>
        </w:rPr>
        <w:t xml:space="preserve">London Borough of Sutton</w:t>
      </w:r>
    </w:p>
    <w:p w:rsidR="00000000" w:rsidDel="00000000" w:rsidP="00000000" w:rsidRDefault="00000000" w:rsidRPr="00000000" w14:paraId="00000004">
      <w:pPr>
        <w:pageBreakBefore w:val="0"/>
        <w:spacing w:line="480" w:lineRule="auto"/>
        <w:ind w:left="360" w:firstLine="0"/>
        <w:jc w:val="center"/>
        <w:rPr>
          <w:rFonts w:ascii="Helvetica" w:cs="Helvetica" w:eastAsia="Helvetica" w:hAnsi="Helvetica"/>
          <w:b w:val="1"/>
          <w:sz w:val="56"/>
          <w:szCs w:val="56"/>
        </w:rPr>
      </w:pPr>
      <w:r w:rsidDel="00000000" w:rsidR="00000000" w:rsidRPr="00000000">
        <w:rPr>
          <w:rtl w:val="0"/>
        </w:rPr>
      </w:r>
    </w:p>
    <w:p w:rsidR="00000000" w:rsidDel="00000000" w:rsidP="00000000" w:rsidRDefault="00000000" w:rsidRPr="00000000" w14:paraId="00000005">
      <w:pPr>
        <w:pageBreakBefore w:val="0"/>
        <w:spacing w:line="480" w:lineRule="auto"/>
        <w:ind w:left="360" w:firstLine="0"/>
        <w:jc w:val="center"/>
        <w:rPr>
          <w:rFonts w:ascii="Helvetica" w:cs="Helvetica" w:eastAsia="Helvetica" w:hAnsi="Helvetica"/>
          <w:b w:val="1"/>
          <w:sz w:val="48"/>
          <w:szCs w:val="48"/>
          <w:vertAlign w:val="baseline"/>
        </w:rPr>
      </w:pPr>
      <w:r w:rsidDel="00000000" w:rsidR="00000000" w:rsidRPr="00000000">
        <w:rPr>
          <w:rFonts w:ascii="Helvetica" w:cs="Helvetica" w:eastAsia="Helvetica" w:hAnsi="Helvetica"/>
          <w:b w:val="1"/>
          <w:sz w:val="48"/>
          <w:szCs w:val="48"/>
          <w:vertAlign w:val="baseline"/>
          <w:rtl w:val="0"/>
        </w:rPr>
        <w:t xml:space="preserve">Greenhouse Gas Emissions Report</w:t>
      </w:r>
    </w:p>
    <w:p w:rsidR="00000000" w:rsidDel="00000000" w:rsidP="00000000" w:rsidRDefault="00000000" w:rsidRPr="00000000" w14:paraId="00000006">
      <w:pPr>
        <w:pageBreakBefore w:val="0"/>
        <w:spacing w:line="480" w:lineRule="auto"/>
        <w:ind w:left="360" w:firstLine="0"/>
        <w:jc w:val="center"/>
        <w:rPr>
          <w:rFonts w:ascii="Helvetica" w:cs="Helvetica" w:eastAsia="Helvetica" w:hAnsi="Helvetica"/>
          <w:b w:val="1"/>
          <w:sz w:val="48"/>
          <w:szCs w:val="48"/>
        </w:rPr>
      </w:pPr>
      <w:r w:rsidDel="00000000" w:rsidR="00000000" w:rsidRPr="00000000">
        <w:rPr>
          <w:rtl w:val="0"/>
        </w:rPr>
      </w:r>
    </w:p>
    <w:p w:rsidR="00000000" w:rsidDel="00000000" w:rsidP="00000000" w:rsidRDefault="00000000" w:rsidRPr="00000000" w14:paraId="00000007">
      <w:pPr>
        <w:pageBreakBefore w:val="0"/>
        <w:spacing w:line="480" w:lineRule="auto"/>
        <w:ind w:left="360" w:firstLine="0"/>
        <w:jc w:val="center"/>
        <w:rPr>
          <w:rFonts w:ascii="Helvetica" w:cs="Helvetica" w:eastAsia="Helvetica" w:hAnsi="Helvetica"/>
          <w:sz w:val="48"/>
          <w:szCs w:val="48"/>
          <w:vertAlign w:val="baseline"/>
        </w:rPr>
      </w:pPr>
      <w:r w:rsidDel="00000000" w:rsidR="00000000" w:rsidRPr="00000000">
        <w:rPr>
          <w:rFonts w:ascii="Helvetica" w:cs="Helvetica" w:eastAsia="Helvetica" w:hAnsi="Helvetica"/>
          <w:b w:val="1"/>
          <w:sz w:val="48"/>
          <w:szCs w:val="48"/>
          <w:vertAlign w:val="baseline"/>
          <w:rtl w:val="0"/>
        </w:rPr>
        <w:t xml:space="preserve">Reporting year 20</w:t>
      </w:r>
      <w:r w:rsidDel="00000000" w:rsidR="00000000" w:rsidRPr="00000000">
        <w:rPr>
          <w:rFonts w:ascii="Helvetica" w:cs="Helvetica" w:eastAsia="Helvetica" w:hAnsi="Helvetica"/>
          <w:b w:val="1"/>
          <w:sz w:val="48"/>
          <w:szCs w:val="48"/>
          <w:rtl w:val="0"/>
        </w:rPr>
        <w:t xml:space="preserve">23</w:t>
      </w:r>
      <w:r w:rsidDel="00000000" w:rsidR="00000000" w:rsidRPr="00000000">
        <w:rPr>
          <w:rFonts w:ascii="Helvetica" w:cs="Helvetica" w:eastAsia="Helvetica" w:hAnsi="Helvetica"/>
          <w:b w:val="1"/>
          <w:sz w:val="48"/>
          <w:szCs w:val="48"/>
          <w:vertAlign w:val="baseline"/>
          <w:rtl w:val="0"/>
        </w:rPr>
        <w:t xml:space="preserve">/</w:t>
      </w:r>
      <w:r w:rsidDel="00000000" w:rsidR="00000000" w:rsidRPr="00000000">
        <w:rPr>
          <w:rFonts w:ascii="Helvetica" w:cs="Helvetica" w:eastAsia="Helvetica" w:hAnsi="Helvetica"/>
          <w:b w:val="1"/>
          <w:sz w:val="48"/>
          <w:szCs w:val="48"/>
          <w:rtl w:val="0"/>
        </w:rPr>
        <w:t xml:space="preserve">24</w:t>
      </w:r>
      <w:r w:rsidDel="00000000" w:rsidR="00000000" w:rsidRPr="00000000">
        <w:rPr>
          <w:rtl w:val="0"/>
        </w:rPr>
      </w:r>
    </w:p>
    <w:p w:rsidR="00000000" w:rsidDel="00000000" w:rsidP="00000000" w:rsidRDefault="00000000" w:rsidRPr="00000000" w14:paraId="00000008">
      <w:pPr>
        <w:pageBreakBefore w:val="0"/>
        <w:ind w:hanging="1440"/>
        <w:rPr>
          <w:rFonts w:ascii="Helvetica" w:cs="Helvetica" w:eastAsia="Helvetica" w:hAnsi="Helvetica"/>
          <w:vertAlign w:val="baseline"/>
        </w:rPr>
      </w:pPr>
      <w:r w:rsidDel="00000000" w:rsidR="00000000" w:rsidRPr="00000000">
        <w:rPr>
          <w:rtl w:val="0"/>
        </w:rPr>
      </w:r>
    </w:p>
    <w:p w:rsidR="00000000" w:rsidDel="00000000" w:rsidP="00000000" w:rsidRDefault="00000000" w:rsidRPr="00000000" w14:paraId="00000009">
      <w:pPr>
        <w:pageBreakBefore w:val="0"/>
        <w:ind w:hanging="1440"/>
        <w:rPr>
          <w:rFonts w:ascii="Helvetica" w:cs="Helvetica" w:eastAsia="Helvetica" w:hAnsi="Helvetica"/>
          <w:vertAlign w:val="baseline"/>
        </w:rPr>
      </w:pPr>
      <w:r w:rsidDel="00000000" w:rsidR="00000000" w:rsidRPr="00000000">
        <w:rPr>
          <w:rtl w:val="0"/>
        </w:rPr>
      </w:r>
    </w:p>
    <w:p w:rsidR="00000000" w:rsidDel="00000000" w:rsidP="00000000" w:rsidRDefault="00000000" w:rsidRPr="00000000" w14:paraId="0000000A">
      <w:pPr>
        <w:pageBreakBefore w:val="0"/>
        <w:ind w:hanging="1440"/>
        <w:rPr>
          <w:rFonts w:ascii="Helvetica" w:cs="Helvetica" w:eastAsia="Helvetica" w:hAnsi="Helvetica"/>
          <w:vertAlign w:val="baseline"/>
        </w:rPr>
      </w:pPr>
      <w:r w:rsidDel="00000000" w:rsidR="00000000" w:rsidRPr="00000000">
        <w:rPr>
          <w:rtl w:val="0"/>
        </w:rPr>
      </w:r>
    </w:p>
    <w:p w:rsidR="00000000" w:rsidDel="00000000" w:rsidP="00000000" w:rsidRDefault="00000000" w:rsidRPr="00000000" w14:paraId="0000000B">
      <w:pPr>
        <w:pageBreakBefore w:val="0"/>
        <w:ind w:hanging="1440"/>
        <w:rPr>
          <w:rFonts w:ascii="Helvetica" w:cs="Helvetica" w:eastAsia="Helvetica" w:hAnsi="Helvetica"/>
          <w:vertAlign w:val="baseline"/>
        </w:rPr>
      </w:pPr>
      <w:r w:rsidDel="00000000" w:rsidR="00000000" w:rsidRPr="00000000">
        <w:rPr>
          <w:rtl w:val="0"/>
        </w:rPr>
      </w:r>
    </w:p>
    <w:p w:rsidR="00000000" w:rsidDel="00000000" w:rsidP="00000000" w:rsidRDefault="00000000" w:rsidRPr="00000000" w14:paraId="0000000C">
      <w:pPr>
        <w:pageBreakBefore w:val="0"/>
        <w:ind w:hanging="1440"/>
        <w:rPr>
          <w:rFonts w:ascii="Helvetica" w:cs="Helvetica" w:eastAsia="Helvetica" w:hAnsi="Helvetica"/>
          <w:vertAlign w:val="baseline"/>
        </w:rPr>
      </w:pPr>
      <w:r w:rsidDel="00000000" w:rsidR="00000000" w:rsidRPr="00000000">
        <w:rPr>
          <w:rtl w:val="0"/>
        </w:rPr>
      </w:r>
    </w:p>
    <w:p w:rsidR="00000000" w:rsidDel="00000000" w:rsidP="00000000" w:rsidRDefault="00000000" w:rsidRPr="00000000" w14:paraId="0000000D">
      <w:pPr>
        <w:pageBreakBefore w:val="0"/>
        <w:ind w:hanging="1440"/>
        <w:rPr>
          <w:rFonts w:ascii="Helvetica" w:cs="Helvetica" w:eastAsia="Helvetica" w:hAnsi="Helvetica"/>
          <w:vertAlign w:val="baseline"/>
        </w:rPr>
      </w:pPr>
      <w:r w:rsidDel="00000000" w:rsidR="00000000" w:rsidRPr="00000000">
        <w:rPr>
          <w:rtl w:val="0"/>
        </w:rPr>
      </w:r>
    </w:p>
    <w:p w:rsidR="00000000" w:rsidDel="00000000" w:rsidP="00000000" w:rsidRDefault="00000000" w:rsidRPr="00000000" w14:paraId="0000000E">
      <w:pPr>
        <w:pageBreakBefore w:val="0"/>
        <w:ind w:hanging="1440"/>
        <w:rPr>
          <w:rFonts w:ascii="Helvetica" w:cs="Helvetica" w:eastAsia="Helvetica" w:hAnsi="Helvetica"/>
          <w:vertAlign w:val="baseline"/>
        </w:rPr>
      </w:pPr>
      <w:r w:rsidDel="00000000" w:rsidR="00000000" w:rsidRPr="00000000">
        <w:rPr>
          <w:rtl w:val="0"/>
        </w:rPr>
      </w:r>
    </w:p>
    <w:p w:rsidR="00000000" w:rsidDel="00000000" w:rsidP="00000000" w:rsidRDefault="00000000" w:rsidRPr="00000000" w14:paraId="0000000F">
      <w:pPr>
        <w:pageBreakBefore w:val="0"/>
        <w:ind w:hanging="1440"/>
        <w:rPr>
          <w:rFonts w:ascii="Helvetica" w:cs="Helvetica" w:eastAsia="Helvetica" w:hAnsi="Helvetica"/>
          <w:vertAlign w:val="baseline"/>
        </w:rPr>
      </w:pPr>
      <w:r w:rsidDel="00000000" w:rsidR="00000000" w:rsidRPr="00000000">
        <w:rPr>
          <w:rtl w:val="0"/>
        </w:rPr>
      </w:r>
    </w:p>
    <w:p w:rsidR="00000000" w:rsidDel="00000000" w:rsidP="00000000" w:rsidRDefault="00000000" w:rsidRPr="00000000" w14:paraId="00000010">
      <w:pPr>
        <w:pageBreakBefore w:val="0"/>
        <w:ind w:hanging="1440"/>
        <w:rPr>
          <w:rFonts w:ascii="Helvetica" w:cs="Helvetica" w:eastAsia="Helvetica" w:hAnsi="Helvetica"/>
          <w:vertAlign w:val="baseline"/>
        </w:rPr>
      </w:pPr>
      <w:r w:rsidDel="00000000" w:rsidR="00000000" w:rsidRPr="00000000">
        <w:rPr>
          <w:rtl w:val="0"/>
        </w:rPr>
      </w:r>
    </w:p>
    <w:p w:rsidR="00000000" w:rsidDel="00000000" w:rsidP="00000000" w:rsidRDefault="00000000" w:rsidRPr="00000000" w14:paraId="00000011">
      <w:pPr>
        <w:pageBreakBefore w:val="0"/>
        <w:ind w:hanging="1440"/>
        <w:rPr>
          <w:rFonts w:ascii="Helvetica" w:cs="Helvetica" w:eastAsia="Helvetica" w:hAnsi="Helvetica"/>
          <w:vertAlign w:val="baseline"/>
        </w:rPr>
      </w:pPr>
      <w:r w:rsidDel="00000000" w:rsidR="00000000" w:rsidRPr="00000000">
        <w:rPr>
          <w:rtl w:val="0"/>
        </w:rPr>
      </w:r>
    </w:p>
    <w:p w:rsidR="00000000" w:rsidDel="00000000" w:rsidP="00000000" w:rsidRDefault="00000000" w:rsidRPr="00000000" w14:paraId="00000012">
      <w:pPr>
        <w:pageBreakBefore w:val="0"/>
        <w:ind w:hanging="1440"/>
        <w:rPr>
          <w:rFonts w:ascii="Helvetica" w:cs="Helvetica" w:eastAsia="Helvetica" w:hAnsi="Helvetica"/>
          <w:vertAlign w:val="baseline"/>
        </w:rPr>
      </w:pPr>
      <w:r w:rsidDel="00000000" w:rsidR="00000000" w:rsidRPr="00000000">
        <w:rPr>
          <w:rtl w:val="0"/>
        </w:rPr>
      </w:r>
    </w:p>
    <w:p w:rsidR="00000000" w:rsidDel="00000000" w:rsidP="00000000" w:rsidRDefault="00000000" w:rsidRPr="00000000" w14:paraId="00000013">
      <w:pPr>
        <w:pageBreakBefore w:val="0"/>
        <w:ind w:hanging="1440"/>
        <w:rPr>
          <w:rFonts w:ascii="Helvetica" w:cs="Helvetica" w:eastAsia="Helvetica" w:hAnsi="Helvetica"/>
          <w:vertAlign w:val="baseline"/>
        </w:rPr>
      </w:pPr>
      <w:r w:rsidDel="00000000" w:rsidR="00000000" w:rsidRPr="00000000">
        <w:rPr>
          <w:rtl w:val="0"/>
        </w:rPr>
      </w:r>
    </w:p>
    <w:p w:rsidR="00000000" w:rsidDel="00000000" w:rsidP="00000000" w:rsidRDefault="00000000" w:rsidRPr="00000000" w14:paraId="00000014">
      <w:pPr>
        <w:pageBreakBefore w:val="0"/>
        <w:ind w:hanging="1440"/>
        <w:rPr>
          <w:rFonts w:ascii="Helvetica" w:cs="Helvetica" w:eastAsia="Helvetica" w:hAnsi="Helvetica"/>
        </w:rPr>
      </w:pPr>
      <w:r w:rsidDel="00000000" w:rsidR="00000000" w:rsidRPr="00000000">
        <w:rPr>
          <w:rtl w:val="0"/>
        </w:rPr>
      </w:r>
    </w:p>
    <w:p w:rsidR="00000000" w:rsidDel="00000000" w:rsidP="00000000" w:rsidRDefault="00000000" w:rsidRPr="00000000" w14:paraId="00000015">
      <w:pPr>
        <w:pageBreakBefore w:val="0"/>
        <w:ind w:hanging="1440"/>
        <w:rPr>
          <w:rFonts w:ascii="Helvetica" w:cs="Helvetica" w:eastAsia="Helvetica" w:hAnsi="Helvetica"/>
        </w:rPr>
      </w:pPr>
      <w:r w:rsidDel="00000000" w:rsidR="00000000" w:rsidRPr="00000000">
        <w:rPr>
          <w:rtl w:val="0"/>
        </w:rPr>
      </w:r>
    </w:p>
    <w:p w:rsidR="00000000" w:rsidDel="00000000" w:rsidP="00000000" w:rsidRDefault="00000000" w:rsidRPr="00000000" w14:paraId="00000016">
      <w:pPr>
        <w:pageBreakBefore w:val="0"/>
        <w:ind w:hanging="1440"/>
        <w:rPr>
          <w:rFonts w:ascii="Helvetica" w:cs="Helvetica" w:eastAsia="Helvetica" w:hAnsi="Helvetica"/>
        </w:rPr>
      </w:pPr>
      <w:r w:rsidDel="00000000" w:rsidR="00000000" w:rsidRPr="00000000">
        <w:rPr>
          <w:rtl w:val="0"/>
        </w:rPr>
      </w:r>
    </w:p>
    <w:p w:rsidR="00000000" w:rsidDel="00000000" w:rsidP="00000000" w:rsidRDefault="00000000" w:rsidRPr="00000000" w14:paraId="00000017">
      <w:pPr>
        <w:pageBreakBefore w:val="0"/>
        <w:ind w:hanging="806.9999999999998"/>
        <w:rPr>
          <w:rFonts w:ascii="Helvetica" w:cs="Helvetica" w:eastAsia="Helvetica" w:hAnsi="Helvetica"/>
          <w:vertAlign w:val="baseline"/>
        </w:rPr>
      </w:pPr>
      <w:r w:rsidDel="00000000" w:rsidR="00000000" w:rsidRPr="00000000">
        <w:rPr>
          <w:rFonts w:ascii="Helvetica" w:cs="Helvetica" w:eastAsia="Helvetica" w:hAnsi="Helvetica"/>
        </w:rPr>
        <mc:AlternateContent>
          <mc:Choice Requires="wpg">
            <w:drawing>
              <wp:inline distB="0" distT="0" distL="114300" distR="114300">
                <wp:extent cx="6276975" cy="864552"/>
                <wp:effectExtent b="0" l="0" r="0" t="0"/>
                <wp:docPr id="1" name=""/>
                <a:graphic>
                  <a:graphicData uri="http://schemas.microsoft.com/office/word/2010/wordprocessingGroup">
                    <wpg:wgp>
                      <wpg:cNvGrpSpPr/>
                      <wpg:grpSpPr>
                        <a:xfrm>
                          <a:off x="1974125" y="3121175"/>
                          <a:ext cx="6276975" cy="864552"/>
                          <a:chOff x="1974125" y="3121175"/>
                          <a:chExt cx="6729150" cy="1303925"/>
                        </a:xfrm>
                      </wpg:grpSpPr>
                      <wpg:grpSp>
                        <wpg:cNvGrpSpPr/>
                        <wpg:grpSpPr>
                          <a:xfrm>
                            <a:off x="1974150" y="3121187"/>
                            <a:ext cx="6729115" cy="1303900"/>
                            <a:chOff x="720" y="14577"/>
                            <a:chExt cx="10150" cy="1425"/>
                          </a:xfrm>
                        </wpg:grpSpPr>
                        <wps:wsp>
                          <wps:cNvSpPr/>
                          <wps:cNvPr id="3" name="Shape 3"/>
                          <wps:spPr>
                            <a:xfrm>
                              <a:off x="720" y="14577"/>
                              <a:ext cx="10150" cy="1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720" y="14760"/>
                              <a:ext cx="8100" cy="1200"/>
                            </a:xfrm>
                            <a:prstGeom prst="rect">
                              <a:avLst/>
                            </a:prstGeom>
                            <a:solidFill>
                              <a:srgbClr val="339966"/>
                            </a:solidFill>
                            <a:ln>
                              <a:noFill/>
                            </a:ln>
                          </wps:spPr>
                          <wps:txbx>
                            <w:txbxContent>
                              <w:p w:rsidR="00000000" w:rsidDel="00000000" w:rsidP="00000000" w:rsidRDefault="00000000" w:rsidRPr="00000000">
                                <w:pPr>
                                  <w:spacing w:after="0" w:before="0" w:line="240"/>
                                  <w:ind w:left="-360" w:right="0" w:firstLine="-36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Narrow" w:cs="Arial Narrow" w:eastAsia="Arial Narrow" w:hAnsi="Arial Narrow"/>
                                    <w:b w:val="0"/>
                                    <w:i w:val="0"/>
                                    <w:smallCaps w:val="0"/>
                                    <w:strike w:val="0"/>
                                    <w:color w:val="ffffff"/>
                                    <w:sz w:val="44"/>
                                    <w:vertAlign w:val="baseline"/>
                                  </w:rPr>
                                </w:r>
                                <w:r w:rsidDel="00000000" w:rsidR="00000000" w:rsidRPr="00000000">
                                  <w:rPr>
                                    <w:rFonts w:ascii="Arial" w:cs="Arial" w:eastAsia="Arial" w:hAnsi="Arial"/>
                                    <w:b w:val="0"/>
                                    <w:i w:val="0"/>
                                    <w:smallCaps w:val="0"/>
                                    <w:strike w:val="0"/>
                                    <w:color w:val="ffffff"/>
                                    <w:sz w:val="28"/>
                                    <w:vertAlign w:val="baseline"/>
                                  </w:rPr>
                                  <w:t xml:space="preserve">take part, take pride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28"/>
                                    <w:vertAlign w:val="baseline"/>
                                  </w:rPr>
                                </w:r>
                              </w:p>
                            </w:txbxContent>
                          </wps:txbx>
                          <wps:bodyPr anchorCtr="0" anchor="t" bIns="45700" lIns="91425" spcFirstLastPara="1" rIns="91425" wrap="square" tIns="45700">
                            <a:noAutofit/>
                          </wps:bodyPr>
                        </wps:wsp>
                      </wpg:grpSp>
                      <pic:pic>
                        <pic:nvPicPr>
                          <pic:cNvPr id="5" name="Shape 5"/>
                          <pic:cNvPicPr preferRelativeResize="0"/>
                        </pic:nvPicPr>
                        <pic:blipFill>
                          <a:blip r:embed="rId8">
                            <a:alphaModFix/>
                          </a:blip>
                          <a:stretch>
                            <a:fillRect/>
                          </a:stretch>
                        </pic:blipFill>
                        <pic:spPr>
                          <a:xfrm>
                            <a:off x="7531700" y="3347712"/>
                            <a:ext cx="1171575" cy="971550"/>
                          </a:xfrm>
                          <a:prstGeom prst="rect">
                            <a:avLst/>
                          </a:prstGeom>
                          <a:noFill/>
                          <a:ln>
                            <a:noFill/>
                          </a:ln>
                        </pic:spPr>
                      </pic:pic>
                    </wpg:wgp>
                  </a:graphicData>
                </a:graphic>
              </wp:inline>
            </w:drawing>
          </mc:Choice>
          <mc:Fallback>
            <w:drawing>
              <wp:inline distB="0" distT="0" distL="114300" distR="114300">
                <wp:extent cx="6276975" cy="864552"/>
                <wp:effectExtent b="0" l="0" r="0" t="0"/>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6276975" cy="86455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8">
      <w:pPr>
        <w:pStyle w:val="Heading2"/>
        <w:pageBreakBefore w:val="0"/>
        <w:spacing w:after="200" w:lineRule="auto"/>
        <w:rPr/>
      </w:pPr>
      <w:bookmarkStart w:colFirst="0" w:colLast="0" w:name="_vnlh23z80kh5" w:id="0"/>
      <w:bookmarkEnd w:id="0"/>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9">
          <w:pPr>
            <w:tabs>
              <w:tab w:val="right" w:leader="none" w:pos="8398.511811023624"/>
            </w:tabs>
            <w:spacing w:before="80" w:line="240" w:lineRule="auto"/>
            <w:ind w:left="0" w:firstLine="0"/>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4d7eve974d5u">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Introduction</w:t>
            </w:r>
          </w:hyperlink>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_4d7eve974d5u \h </w:instrText>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A">
          <w:pPr>
            <w:tabs>
              <w:tab w:val="right" w:leader="none" w:pos="8398.511811023624"/>
            </w:tabs>
            <w:spacing w:before="60" w:line="240" w:lineRule="auto"/>
            <w:ind w:left="360" w:firstLine="0"/>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87tiw1k5gzjm">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Purpose of the report</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_87tiw1k5gzjm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B">
          <w:pPr>
            <w:tabs>
              <w:tab w:val="right" w:leader="none" w:pos="8398.511811023624"/>
            </w:tabs>
            <w:spacing w:before="60" w:line="240" w:lineRule="auto"/>
            <w:ind w:left="360" w:firstLine="0"/>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dfbs2x6iag0b">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Quality assurance statement</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_dfbs2x6iag0b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C">
          <w:pPr>
            <w:tabs>
              <w:tab w:val="right" w:leader="none" w:pos="8398.511811023624"/>
            </w:tabs>
            <w:spacing w:before="60" w:line="240" w:lineRule="auto"/>
            <w:ind w:left="360" w:firstLine="0"/>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e6i0az72ye2v">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Organisational Goals</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_e6i0az72ye2v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D">
          <w:pPr>
            <w:tabs>
              <w:tab w:val="right" w:leader="none" w:pos="8398.511811023624"/>
            </w:tabs>
            <w:spacing w:before="60" w:line="240" w:lineRule="auto"/>
            <w:ind w:left="360" w:firstLine="0"/>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j6l7313n3b1b">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GHG Target</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_j6l7313n3b1b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E">
          <w:pPr>
            <w:tabs>
              <w:tab w:val="right" w:leader="none" w:pos="8398.511811023624"/>
            </w:tabs>
            <w:spacing w:before="60" w:line="240" w:lineRule="auto"/>
            <w:ind w:left="360" w:firstLine="0"/>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9mx7nvhqdism">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 Responsible Officers</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_9mx7nvhqdism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F">
          <w:pPr>
            <w:tabs>
              <w:tab w:val="right" w:leader="none" w:pos="8398.511811023624"/>
            </w:tabs>
            <w:spacing w:before="60" w:line="240" w:lineRule="auto"/>
            <w:ind w:left="360" w:firstLine="0"/>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nhjudfsx3xsj">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 Company Information</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_nhjudfsx3xsj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0">
          <w:pPr>
            <w:tabs>
              <w:tab w:val="right" w:leader="none" w:pos="8398.511811023624"/>
            </w:tabs>
            <w:spacing w:before="60" w:line="240" w:lineRule="auto"/>
            <w:ind w:left="360" w:firstLine="0"/>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a7zglbomue9y">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 Reporting Period</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_a7zglbomue9y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1">
          <w:pPr>
            <w:tabs>
              <w:tab w:val="right" w:leader="none" w:pos="8398.511811023624"/>
            </w:tabs>
            <w:spacing w:before="60" w:line="240" w:lineRule="auto"/>
            <w:ind w:left="360" w:firstLine="0"/>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wvpwnt1pyrhy">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 Quantification and Reporting Methodology</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_wvpwnt1pyrhy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2">
          <w:pPr>
            <w:tabs>
              <w:tab w:val="right" w:leader="none" w:pos="8398.511811023624"/>
            </w:tabs>
            <w:spacing w:before="200" w:line="240" w:lineRule="auto"/>
            <w:ind w:left="0" w:firstLine="0"/>
            <w:rPr>
              <w:rFonts w:ascii="Times New Roman" w:cs="Times New Roman" w:eastAsia="Times New Roman" w:hAnsi="Times New Roman"/>
              <w:b w:val="1"/>
              <w:i w:val="0"/>
              <w:smallCaps w:val="0"/>
              <w:strike w:val="0"/>
              <w:color w:val="000000"/>
              <w:sz w:val="24"/>
              <w:szCs w:val="24"/>
              <w:u w:val="none"/>
              <w:shd w:fill="auto" w:val="clear"/>
              <w:vertAlign w:val="baseline"/>
            </w:rPr>
          </w:pPr>
          <w:hyperlink w:anchor="_m74b40b7okgk">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Scope</w:t>
            </w:r>
          </w:hyperlink>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_m74b40b7okgk \h </w:instrText>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3">
          <w:pPr>
            <w:tabs>
              <w:tab w:val="right" w:leader="none" w:pos="8398.511811023624"/>
            </w:tabs>
            <w:spacing w:before="60" w:line="240" w:lineRule="auto"/>
            <w:ind w:left="360" w:firstLine="0"/>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maz36czb49c">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 Organisational Boundary</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_maz36czb49c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4">
          <w:pPr>
            <w:tabs>
              <w:tab w:val="right" w:leader="none" w:pos="8398.511811023624"/>
            </w:tabs>
            <w:spacing w:before="60" w:line="240" w:lineRule="auto"/>
            <w:ind w:left="360" w:firstLine="0"/>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4tfqov8ol2a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 Operational Scopes</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_4tfqov8ol2ak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5">
          <w:pPr>
            <w:tabs>
              <w:tab w:val="right" w:leader="none" w:pos="8398.511811023624"/>
            </w:tabs>
            <w:spacing w:before="60" w:line="240" w:lineRule="auto"/>
            <w:ind w:left="720" w:firstLine="0"/>
            <w:rPr/>
          </w:pPr>
          <w:hyperlink w:anchor="_6ef6orvlluh1">
            <w:r w:rsidDel="00000000" w:rsidR="00000000" w:rsidRPr="00000000">
              <w:rPr>
                <w:rtl w:val="0"/>
              </w:rPr>
              <w:t xml:space="preserve">Table 1: Declaration of reported emission-releasing activities</w:t>
            </w:r>
          </w:hyperlink>
          <w:r w:rsidDel="00000000" w:rsidR="00000000" w:rsidRPr="00000000">
            <w:rPr>
              <w:rtl w:val="0"/>
            </w:rPr>
            <w:tab/>
          </w:r>
          <w:r w:rsidDel="00000000" w:rsidR="00000000" w:rsidRPr="00000000">
            <w:fldChar w:fldCharType="begin"/>
            <w:instrText xml:space="preserve"> PAGEREF _6ef6orvlluh1 \h </w:instrText>
            <w:fldChar w:fldCharType="separate"/>
          </w:r>
          <w:r w:rsidDel="00000000" w:rsidR="00000000" w:rsidRPr="00000000">
            <w:rPr>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6">
          <w:pPr>
            <w:tabs>
              <w:tab w:val="right" w:leader="none" w:pos="8398.511811023624"/>
            </w:tabs>
            <w:spacing w:before="200" w:line="240" w:lineRule="auto"/>
            <w:ind w:left="0" w:firstLine="0"/>
            <w:rPr>
              <w:rFonts w:ascii="Times New Roman" w:cs="Times New Roman" w:eastAsia="Times New Roman" w:hAnsi="Times New Roman"/>
              <w:b w:val="1"/>
              <w:i w:val="0"/>
              <w:smallCaps w:val="0"/>
              <w:strike w:val="0"/>
              <w:color w:val="000000"/>
              <w:sz w:val="24"/>
              <w:szCs w:val="24"/>
              <w:u w:val="none"/>
              <w:shd w:fill="auto" w:val="clear"/>
              <w:vertAlign w:val="baseline"/>
            </w:rPr>
          </w:pPr>
          <w:hyperlink w:anchor="_oprq714prrye">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Results</w:t>
            </w:r>
          </w:hyperlink>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_oprq714prrye \h </w:instrText>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7">
          <w:pPr>
            <w:tabs>
              <w:tab w:val="right" w:leader="none" w:pos="8398.511811023624"/>
            </w:tabs>
            <w:spacing w:before="60" w:line="240" w:lineRule="auto"/>
            <w:ind w:left="360" w:firstLine="0"/>
            <w:rPr>
              <w:rFonts w:ascii="Times New Roman" w:cs="Times New Roman" w:eastAsia="Times New Roman" w:hAnsi="Times New Roman"/>
              <w:b w:val="0"/>
              <w:i w:val="0"/>
              <w:smallCaps w:val="0"/>
              <w:strike w:val="0"/>
              <w:color w:val="1155cc"/>
              <w:sz w:val="24"/>
              <w:szCs w:val="24"/>
              <w:u w:val="single"/>
              <w:shd w:fill="auto" w:val="clear"/>
              <w:vertAlign w:val="baseline"/>
            </w:rPr>
          </w:pPr>
          <w:hyperlink w:anchor="_jnyd43chh1iv">
            <w:r w:rsidDel="00000000" w:rsidR="00000000" w:rsidRPr="00000000">
              <w:rPr>
                <w:color w:val="1155cc"/>
                <w:u w:val="single"/>
                <w:rtl w:val="0"/>
              </w:rPr>
              <w:t xml:space="preserve">3.1. Headline results for 2023/24</w:t>
            </w:r>
          </w:hyperlink>
          <w:r w:rsidDel="00000000" w:rsidR="00000000" w:rsidRPr="00000000">
            <w:rPr>
              <w:rFonts w:ascii="Times New Roman" w:cs="Times New Roman" w:eastAsia="Times New Roman" w:hAnsi="Times New Roman"/>
              <w:b w:val="0"/>
              <w:i w:val="0"/>
              <w:smallCaps w:val="0"/>
              <w:strike w:val="0"/>
              <w:color w:val="1155cc"/>
              <w:sz w:val="24"/>
              <w:szCs w:val="24"/>
              <w:u w:val="single"/>
              <w:shd w:fill="auto" w:val="clear"/>
              <w:vertAlign w:val="baseline"/>
              <w:rtl w:val="0"/>
            </w:rPr>
            <w:tab/>
          </w:r>
          <w:r w:rsidDel="00000000" w:rsidR="00000000" w:rsidRPr="00000000">
            <w:fldChar w:fldCharType="begin"/>
            <w:instrText xml:space="preserve"> PAGEREF _jnyd43chh1iv \h </w:instrText>
            <w:fldChar w:fldCharType="separate"/>
          </w:r>
          <w:r w:rsidDel="00000000" w:rsidR="00000000" w:rsidRPr="00000000">
            <w:rPr>
              <w:rFonts w:ascii="Times New Roman" w:cs="Times New Roman" w:eastAsia="Times New Roman" w:hAnsi="Times New Roman"/>
              <w:b w:val="0"/>
              <w:i w:val="0"/>
              <w:smallCaps w:val="0"/>
              <w:strike w:val="0"/>
              <w:color w:val="1155cc"/>
              <w:sz w:val="24"/>
              <w:szCs w:val="24"/>
              <w:u w:val="singl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8">
          <w:pPr>
            <w:tabs>
              <w:tab w:val="right" w:leader="none" w:pos="8398.511811023624"/>
            </w:tabs>
            <w:spacing w:before="60" w:line="240" w:lineRule="auto"/>
            <w:ind w:left="360" w:firstLine="0"/>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mvaob05elyug">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 Results by scope and activity</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_mvaob05elyug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9">
          <w:pPr>
            <w:tabs>
              <w:tab w:val="right" w:leader="none" w:pos="8398.511811023624"/>
            </w:tabs>
            <w:spacing w:before="200" w:line="240" w:lineRule="auto"/>
            <w:ind w:left="0" w:firstLine="0"/>
            <w:rPr>
              <w:rFonts w:ascii="Times New Roman" w:cs="Times New Roman" w:eastAsia="Times New Roman" w:hAnsi="Times New Roman"/>
              <w:b w:val="1"/>
              <w:i w:val="0"/>
              <w:smallCaps w:val="0"/>
              <w:strike w:val="0"/>
              <w:color w:val="000000"/>
              <w:sz w:val="24"/>
              <w:szCs w:val="24"/>
              <w:u w:val="none"/>
              <w:shd w:fill="auto" w:val="clear"/>
              <w:vertAlign w:val="baseline"/>
            </w:rPr>
          </w:pPr>
          <w:hyperlink w:anchor="_neare5fl84m6">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Actions aimed at reducing consumption and emissions</w:t>
            </w:r>
          </w:hyperlink>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_neare5fl84m6 \h </w:instrText>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2A">
          <w:pPr>
            <w:tabs>
              <w:tab w:val="right" w:leader="none" w:pos="8398.511811023624"/>
            </w:tabs>
            <w:spacing w:before="200" w:line="240" w:lineRule="auto"/>
            <w:ind w:left="0" w:firstLine="0"/>
            <w:rPr>
              <w:rFonts w:ascii="Times New Roman" w:cs="Times New Roman" w:eastAsia="Times New Roman" w:hAnsi="Times New Roman"/>
              <w:b w:val="1"/>
              <w:i w:val="0"/>
              <w:smallCaps w:val="0"/>
              <w:strike w:val="0"/>
              <w:color w:val="000000"/>
              <w:sz w:val="24"/>
              <w:szCs w:val="24"/>
              <w:u w:val="none"/>
              <w:shd w:fill="auto" w:val="clear"/>
              <w:vertAlign w:val="baseline"/>
            </w:rPr>
          </w:pPr>
          <w:hyperlink w:anchor="_1340t2v55ais">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Additional Information</w:t>
            </w:r>
          </w:hyperlink>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_1340t2v55ais \h </w:instrText>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2B">
          <w:pPr>
            <w:tabs>
              <w:tab w:val="right" w:leader="none" w:pos="8398.511811023624"/>
            </w:tabs>
            <w:spacing w:before="60" w:line="240" w:lineRule="auto"/>
            <w:ind w:left="360" w:firstLine="0"/>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4omfn2n5rtm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5.1. Recalculation Policy</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_4omfn2n5rtm2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2C">
          <w:pPr>
            <w:tabs>
              <w:tab w:val="right" w:leader="none" w:pos="8398.511811023624"/>
            </w:tabs>
            <w:spacing w:before="60" w:line="240" w:lineRule="auto"/>
            <w:ind w:left="360" w:firstLine="0"/>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g3k4anhfghay">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5.2. Intensity Measure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_g3k4anhfghay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D">
          <w:pPr>
            <w:tabs>
              <w:tab w:val="right" w:leader="none" w:pos="8398.511811023624"/>
            </w:tabs>
            <w:spacing w:before="60" w:line="240" w:lineRule="auto"/>
            <w:ind w:left="360" w:firstLine="0"/>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q02gy4jndpy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5.3. Carbon Offsets</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_q02gy4jndpyh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E">
          <w:pPr>
            <w:tabs>
              <w:tab w:val="right" w:leader="none" w:pos="8398.511811023624"/>
            </w:tabs>
            <w:spacing w:after="80" w:before="60" w:line="240" w:lineRule="auto"/>
            <w:ind w:left="360" w:firstLine="0"/>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8wp2t9ip29w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5.4. Green Tariffs</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_8wp2t9ip29w8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F">
      <w:pPr>
        <w:pageBreakBefore w:val="0"/>
        <w:rPr/>
      </w:pPr>
      <w:r w:rsidDel="00000000" w:rsidR="00000000" w:rsidRPr="00000000">
        <w:rPr>
          <w:rtl w:val="0"/>
        </w:rPr>
      </w:r>
    </w:p>
    <w:p w:rsidR="00000000" w:rsidDel="00000000" w:rsidP="00000000" w:rsidRDefault="00000000" w:rsidRPr="00000000" w14:paraId="00000030">
      <w:pPr>
        <w:pStyle w:val="Heading2"/>
        <w:pageBreakBefore w:val="0"/>
        <w:spacing w:after="200" w:lineRule="auto"/>
        <w:rPr/>
      </w:pPr>
      <w:bookmarkStart w:colFirst="0" w:colLast="0" w:name="_wrhg95hc9j9u" w:id="1"/>
      <w:bookmarkEnd w:id="1"/>
      <w:r w:rsidDel="00000000" w:rsidR="00000000" w:rsidRPr="00000000">
        <w:br w:type="page"/>
      </w:r>
      <w:r w:rsidDel="00000000" w:rsidR="00000000" w:rsidRPr="00000000">
        <w:rPr>
          <w:rtl w:val="0"/>
        </w:rPr>
      </w:r>
    </w:p>
    <w:p w:rsidR="00000000" w:rsidDel="00000000" w:rsidP="00000000" w:rsidRDefault="00000000" w:rsidRPr="00000000" w14:paraId="00000031">
      <w:pPr>
        <w:pStyle w:val="Heading2"/>
        <w:pageBreakBefore w:val="0"/>
        <w:numPr>
          <w:ilvl w:val="0"/>
          <w:numId w:val="2"/>
        </w:numPr>
        <w:spacing w:after="200" w:afterAutospacing="0" w:lineRule="auto"/>
        <w:ind w:left="720" w:hanging="956.9999999999998"/>
        <w:rPr/>
      </w:pPr>
      <w:bookmarkStart w:colFirst="0" w:colLast="0" w:name="_4d7eve974d5u" w:id="3"/>
      <w:bookmarkEnd w:id="3"/>
      <w:r w:rsidDel="00000000" w:rsidR="00000000" w:rsidRPr="00000000">
        <w:rPr>
          <w:vertAlign w:val="baseline"/>
          <w:rtl w:val="0"/>
        </w:rPr>
        <w:t xml:space="preserve">Introdu</w:t>
      </w:r>
      <w:bookmarkStart w:colFirst="0" w:colLast="0" w:name="pn331qtiy8v7" w:id="2"/>
      <w:bookmarkEnd w:id="2"/>
      <w:r w:rsidDel="00000000" w:rsidR="00000000" w:rsidRPr="00000000">
        <w:rPr>
          <w:vertAlign w:val="baseline"/>
          <w:rtl w:val="0"/>
        </w:rPr>
        <w:t xml:space="preserve">ction</w:t>
      </w:r>
      <w:r w:rsidDel="00000000" w:rsidR="00000000" w:rsidRPr="00000000">
        <w:rPr>
          <w:rtl w:val="0"/>
        </w:rPr>
      </w:r>
    </w:p>
    <w:p w:rsidR="00000000" w:rsidDel="00000000" w:rsidP="00000000" w:rsidRDefault="00000000" w:rsidRPr="00000000" w14:paraId="00000032">
      <w:pPr>
        <w:pStyle w:val="Heading3"/>
        <w:pageBreakBefore w:val="0"/>
        <w:numPr>
          <w:ilvl w:val="1"/>
          <w:numId w:val="2"/>
        </w:numPr>
        <w:spacing w:before="200" w:beforeAutospacing="0" w:line="276" w:lineRule="auto"/>
        <w:ind w:left="1440" w:hanging="360"/>
        <w:jc w:val="both"/>
        <w:rPr/>
      </w:pPr>
      <w:bookmarkStart w:colFirst="0" w:colLast="0" w:name="_87tiw1k5gzjm" w:id="5"/>
      <w:bookmarkEnd w:id="5"/>
      <w:r w:rsidDel="00000000" w:rsidR="00000000" w:rsidRPr="00000000">
        <w:rPr>
          <w:rtl w:val="0"/>
        </w:rPr>
        <w:t xml:space="preserve">Purpose of the</w:t>
      </w:r>
      <w:bookmarkStart w:colFirst="0" w:colLast="0" w:name="sdcir3yeyy38" w:id="4"/>
      <w:bookmarkEnd w:id="4"/>
      <w:r w:rsidDel="00000000" w:rsidR="00000000" w:rsidRPr="00000000">
        <w:rPr>
          <w:rtl w:val="0"/>
        </w:rPr>
        <w:t xml:space="preserve"> report</w:t>
      </w:r>
    </w:p>
    <w:p w:rsidR="00000000" w:rsidDel="00000000" w:rsidP="00000000" w:rsidRDefault="00000000" w:rsidRPr="00000000" w14:paraId="00000033">
      <w:pPr>
        <w:pageBreakBefore w:val="0"/>
        <w:spacing w:after="200" w:lineRule="auto"/>
        <w:ind w:left="720" w:firstLine="0"/>
        <w:jc w:val="both"/>
        <w:rPr>
          <w:rFonts w:ascii="Helvetica" w:cs="Helvetica" w:eastAsia="Helvetica" w:hAnsi="Helvetica"/>
          <w:b w:val="1"/>
        </w:rPr>
      </w:pPr>
      <w:r w:rsidDel="00000000" w:rsidR="00000000" w:rsidRPr="00000000">
        <w:rPr>
          <w:rFonts w:ascii="Helvetica" w:cs="Helvetica" w:eastAsia="Helvetica" w:hAnsi="Helvetica"/>
          <w:rtl w:val="0"/>
        </w:rPr>
        <w:t xml:space="preserve">This report satisfies the requirement for local authorities to measure and report their greenhouse gas emissions, as set out by the Department for Communities and Local Government single data list.</w:t>
      </w:r>
      <w:r w:rsidDel="00000000" w:rsidR="00000000" w:rsidRPr="00000000">
        <w:rPr>
          <w:rtl w:val="0"/>
        </w:rPr>
      </w:r>
    </w:p>
    <w:p w:rsidR="00000000" w:rsidDel="00000000" w:rsidP="00000000" w:rsidRDefault="00000000" w:rsidRPr="00000000" w14:paraId="00000034">
      <w:pPr>
        <w:pStyle w:val="Heading3"/>
        <w:pageBreakBefore w:val="0"/>
        <w:numPr>
          <w:ilvl w:val="1"/>
          <w:numId w:val="2"/>
        </w:numPr>
        <w:spacing w:line="276" w:lineRule="auto"/>
        <w:ind w:left="1440" w:hanging="360"/>
        <w:jc w:val="both"/>
        <w:rPr/>
      </w:pPr>
      <w:bookmarkStart w:colFirst="0" w:colLast="0" w:name="_dfbs2x6iag0b" w:id="7"/>
      <w:bookmarkEnd w:id="7"/>
      <w:r w:rsidDel="00000000" w:rsidR="00000000" w:rsidRPr="00000000">
        <w:rPr>
          <w:rtl w:val="0"/>
        </w:rPr>
        <w:t xml:space="preserve">Quality </w:t>
      </w:r>
      <w:bookmarkStart w:colFirst="0" w:colLast="0" w:name="al77jidufi5x" w:id="6"/>
      <w:bookmarkEnd w:id="6"/>
      <w:r w:rsidDel="00000000" w:rsidR="00000000" w:rsidRPr="00000000">
        <w:rPr>
          <w:rtl w:val="0"/>
        </w:rPr>
        <w:t xml:space="preserve">assurance statement</w:t>
      </w:r>
    </w:p>
    <w:p w:rsidR="00000000" w:rsidDel="00000000" w:rsidP="00000000" w:rsidRDefault="00000000" w:rsidRPr="00000000" w14:paraId="00000035">
      <w:pPr>
        <w:pageBreakBefore w:val="0"/>
        <w:spacing w:after="200" w:lineRule="auto"/>
        <w:ind w:left="720" w:firstLine="0"/>
        <w:jc w:val="both"/>
        <w:rPr>
          <w:rFonts w:ascii="Helvetica" w:cs="Helvetica" w:eastAsia="Helvetica" w:hAnsi="Helvetica"/>
          <w:b w:val="1"/>
        </w:rPr>
      </w:pPr>
      <w:r w:rsidDel="00000000" w:rsidR="00000000" w:rsidRPr="00000000">
        <w:rPr>
          <w:rFonts w:ascii="Helvetica" w:cs="Helvetica" w:eastAsia="Helvetica" w:hAnsi="Helvetica"/>
          <w:rtl w:val="0"/>
        </w:rPr>
        <w:t xml:space="preserve">The council's </w:t>
      </w:r>
      <w:r w:rsidDel="00000000" w:rsidR="00000000" w:rsidRPr="00000000">
        <w:rPr>
          <w:rFonts w:ascii="Helvetica" w:cs="Helvetica" w:eastAsia="Helvetica" w:hAnsi="Helvetica"/>
          <w:rtl w:val="0"/>
        </w:rPr>
        <w:t xml:space="preserve">Internal Audit team has conducted a review of the methodology for calculating the authorities GHG emissions and no qualifications have been raised.</w:t>
      </w:r>
      <w:r w:rsidDel="00000000" w:rsidR="00000000" w:rsidRPr="00000000">
        <w:rPr>
          <w:rtl w:val="0"/>
        </w:rPr>
      </w:r>
    </w:p>
    <w:p w:rsidR="00000000" w:rsidDel="00000000" w:rsidP="00000000" w:rsidRDefault="00000000" w:rsidRPr="00000000" w14:paraId="00000036">
      <w:pPr>
        <w:pStyle w:val="Heading3"/>
        <w:pageBreakBefore w:val="0"/>
        <w:numPr>
          <w:ilvl w:val="1"/>
          <w:numId w:val="2"/>
        </w:numPr>
        <w:spacing w:line="276" w:lineRule="auto"/>
        <w:ind w:left="1440" w:hanging="360"/>
        <w:jc w:val="both"/>
        <w:rPr/>
      </w:pPr>
      <w:bookmarkStart w:colFirst="0" w:colLast="0" w:name="_e6i0az72ye2v" w:id="9"/>
      <w:bookmarkEnd w:id="9"/>
      <w:r w:rsidDel="00000000" w:rsidR="00000000" w:rsidRPr="00000000">
        <w:rPr>
          <w:rtl w:val="0"/>
        </w:rPr>
        <w:t xml:space="preserve">Org</w:t>
      </w:r>
      <w:bookmarkStart w:colFirst="0" w:colLast="0" w:name="etlj1rrcatyq" w:id="8"/>
      <w:bookmarkEnd w:id="8"/>
      <w:r w:rsidDel="00000000" w:rsidR="00000000" w:rsidRPr="00000000">
        <w:rPr>
          <w:rtl w:val="0"/>
        </w:rPr>
        <w:t xml:space="preserve">anisational Goals</w:t>
      </w:r>
    </w:p>
    <w:p w:rsidR="00000000" w:rsidDel="00000000" w:rsidP="00000000" w:rsidRDefault="00000000" w:rsidRPr="00000000" w14:paraId="00000037">
      <w:pPr>
        <w:pageBreakBefore w:val="0"/>
        <w:spacing w:after="200" w:lineRule="auto"/>
        <w:ind w:left="720" w:firstLine="0"/>
        <w:jc w:val="both"/>
        <w:rPr>
          <w:rFonts w:ascii="Helvetica" w:cs="Helvetica" w:eastAsia="Helvetica" w:hAnsi="Helvetica"/>
        </w:rPr>
      </w:pPr>
      <w:r w:rsidDel="00000000" w:rsidR="00000000" w:rsidRPr="00000000">
        <w:rPr>
          <w:rFonts w:ascii="Helvetica" w:cs="Helvetica" w:eastAsia="Helvetica" w:hAnsi="Helvetica"/>
          <w:rtl w:val="0"/>
        </w:rPr>
        <w:t xml:space="preserve">The London Borough of Sutton has a long standing history of taking action to improve the environment. In 2019 the council published its Environment Strategy as well as declaring a climate emergency. The Environment Strategy was updated in 2020, to incorporate a Climate Emergency Response Plan. </w:t>
      </w:r>
    </w:p>
    <w:p w:rsidR="00000000" w:rsidDel="00000000" w:rsidP="00000000" w:rsidRDefault="00000000" w:rsidRPr="00000000" w14:paraId="00000038">
      <w:pPr>
        <w:pageBreakBefore w:val="0"/>
        <w:spacing w:after="200" w:lineRule="auto"/>
        <w:ind w:left="720" w:firstLine="0"/>
        <w:jc w:val="both"/>
        <w:rPr>
          <w:rFonts w:ascii="Helvetica" w:cs="Helvetica" w:eastAsia="Helvetica" w:hAnsi="Helvetica"/>
        </w:rPr>
      </w:pPr>
      <w:r w:rsidDel="00000000" w:rsidR="00000000" w:rsidRPr="00000000">
        <w:rPr>
          <w:rFonts w:ascii="Helvetica" w:cs="Helvetica" w:eastAsia="Helvetica" w:hAnsi="Helvetica"/>
          <w:rtl w:val="0"/>
        </w:rPr>
        <w:t xml:space="preserve">The vision of the </w:t>
      </w:r>
      <w:hyperlink r:id="rId10">
        <w:r w:rsidDel="00000000" w:rsidR="00000000" w:rsidRPr="00000000">
          <w:rPr>
            <w:rFonts w:ascii="Helvetica" w:cs="Helvetica" w:eastAsia="Helvetica" w:hAnsi="Helvetica"/>
            <w:color w:val="1155cc"/>
            <w:u w:val="single"/>
            <w:rtl w:val="0"/>
          </w:rPr>
          <w:t xml:space="preserve">Environment Strategy and Climate Emergency Response Plan</w:t>
        </w:r>
      </w:hyperlink>
      <w:r w:rsidDel="00000000" w:rsidR="00000000" w:rsidRPr="00000000">
        <w:rPr>
          <w:rFonts w:ascii="Helvetica" w:cs="Helvetica" w:eastAsia="Helvetica" w:hAnsi="Helvetica"/>
          <w:rtl w:val="0"/>
        </w:rPr>
        <w:t xml:space="preserve"> is for Sutton to become London’s most sustainable borough.  This includes a commitment to  achieving net zero carbon emissions, both across the council's own operations and across the borough. The council updates the Climate Emergency Response Plan annually, with the last update being published in December 2022. </w:t>
      </w:r>
      <w:r w:rsidDel="00000000" w:rsidR="00000000" w:rsidRPr="00000000">
        <w:rPr>
          <w:rtl w:val="0"/>
        </w:rPr>
      </w:r>
    </w:p>
    <w:p w:rsidR="00000000" w:rsidDel="00000000" w:rsidP="00000000" w:rsidRDefault="00000000" w:rsidRPr="00000000" w14:paraId="00000039">
      <w:pPr>
        <w:pStyle w:val="Heading3"/>
        <w:pageBreakBefore w:val="0"/>
        <w:numPr>
          <w:ilvl w:val="1"/>
          <w:numId w:val="2"/>
        </w:numPr>
        <w:ind w:left="1440" w:hanging="360"/>
        <w:jc w:val="both"/>
        <w:rPr/>
      </w:pPr>
      <w:bookmarkStart w:colFirst="0" w:colLast="0" w:name="_j6l7313n3b1b" w:id="11"/>
      <w:bookmarkEnd w:id="11"/>
      <w:r w:rsidDel="00000000" w:rsidR="00000000" w:rsidRPr="00000000">
        <w:rPr>
          <w:rtl w:val="0"/>
        </w:rPr>
        <w:t xml:space="preserve">GHG</w:t>
      </w:r>
      <w:bookmarkStart w:colFirst="0" w:colLast="0" w:name="r22gnd2zib2f" w:id="10"/>
      <w:bookmarkEnd w:id="10"/>
      <w:r w:rsidDel="00000000" w:rsidR="00000000" w:rsidRPr="00000000">
        <w:rPr>
          <w:rtl w:val="0"/>
        </w:rPr>
        <w:t xml:space="preserve"> Target</w:t>
      </w:r>
    </w:p>
    <w:p w:rsidR="00000000" w:rsidDel="00000000" w:rsidP="00000000" w:rsidRDefault="00000000" w:rsidRPr="00000000" w14:paraId="0000003A">
      <w:pPr>
        <w:pageBreakBefore w:val="0"/>
        <w:spacing w:after="200" w:lineRule="auto"/>
        <w:ind w:left="720" w:firstLine="0"/>
        <w:jc w:val="both"/>
        <w:rPr>
          <w:rFonts w:ascii="Helvetica" w:cs="Helvetica" w:eastAsia="Helvetica" w:hAnsi="Helvetica"/>
        </w:rPr>
      </w:pPr>
      <w:r w:rsidDel="00000000" w:rsidR="00000000" w:rsidRPr="00000000">
        <w:rPr>
          <w:rFonts w:ascii="Helvetica" w:cs="Helvetica" w:eastAsia="Helvetica" w:hAnsi="Helvetica"/>
          <w:rtl w:val="0"/>
        </w:rPr>
        <w:t xml:space="preserve">The council aims to achieve net zero carbon emissions across its estate. We will reduce emissions as far as possible through mitigation before undertaking offsetting activities. The target is for scopes 1,2 and 3. </w:t>
      </w:r>
    </w:p>
    <w:bookmarkStart w:colFirst="0" w:colLast="0" w:name="pv3ulg3a1iz7" w:id="12"/>
    <w:bookmarkEnd w:id="12"/>
    <w:p w:rsidR="00000000" w:rsidDel="00000000" w:rsidP="00000000" w:rsidRDefault="00000000" w:rsidRPr="00000000" w14:paraId="0000003B">
      <w:pPr>
        <w:pStyle w:val="Heading3"/>
        <w:numPr>
          <w:ilvl w:val="1"/>
          <w:numId w:val="2"/>
        </w:numPr>
        <w:spacing w:after="200" w:lineRule="auto"/>
        <w:ind w:left="1440" w:hanging="360"/>
        <w:jc w:val="both"/>
        <w:rPr>
          <w:u w:val="none"/>
        </w:rPr>
      </w:pPr>
      <w:bookmarkStart w:colFirst="0" w:colLast="0" w:name="_9mx7nvhqdism" w:id="13"/>
      <w:bookmarkEnd w:id="13"/>
      <w:r w:rsidDel="00000000" w:rsidR="00000000" w:rsidRPr="00000000">
        <w:rPr>
          <w:rtl w:val="0"/>
        </w:rPr>
        <w:t xml:space="preserve">Responsible Officers</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Helvetica" w:cs="Helvetica" w:eastAsia="Helvetica" w:hAnsi="Helvetica"/>
        </w:rPr>
      </w:pPr>
      <w:r w:rsidDel="00000000" w:rsidR="00000000" w:rsidRPr="00000000">
        <w:rPr>
          <w:rFonts w:ascii="Helvetica" w:cs="Helvetica" w:eastAsia="Helvetica" w:hAnsi="Helvetica"/>
          <w:highlight w:val="white"/>
          <w:rtl w:val="0"/>
        </w:rPr>
        <w:t xml:space="preserve">Thuso Selelo</w:t>
      </w:r>
      <w:r w:rsidDel="00000000" w:rsidR="00000000" w:rsidRPr="00000000">
        <w:rPr>
          <w:rFonts w:ascii="Helvetica" w:cs="Helvetica" w:eastAsia="Helvetica" w:hAnsi="Helvetica"/>
          <w:rtl w:val="0"/>
        </w:rPr>
        <w:t xml:space="preserve"> Assistant Director of Asset Management, Planning &amp; Capital Delivery and Paul Algeo, Head of Programme &amp; Projects Management, are responsible for meeting this target.</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Helvetica" w:cs="Helvetica" w:eastAsia="Helvetica" w:hAnsi="Helvetica"/>
          <w:b w:val="1"/>
        </w:rPr>
      </w:pPr>
      <w:r w:rsidDel="00000000" w:rsidR="00000000" w:rsidRPr="00000000">
        <w:rPr>
          <w:rtl w:val="0"/>
        </w:rPr>
      </w:r>
    </w:p>
    <w:bookmarkStart w:colFirst="0" w:colLast="0" w:name="76ctn2kf61uk" w:id="14"/>
    <w:bookmarkEnd w:id="14"/>
    <w:p w:rsidR="00000000" w:rsidDel="00000000" w:rsidP="00000000" w:rsidRDefault="00000000" w:rsidRPr="00000000" w14:paraId="0000003E">
      <w:pPr>
        <w:pStyle w:val="Heading3"/>
        <w:pageBreakBefore w:val="0"/>
        <w:numPr>
          <w:ilvl w:val="1"/>
          <w:numId w:val="2"/>
        </w:numPr>
        <w:spacing w:line="276" w:lineRule="auto"/>
        <w:ind w:left="1440" w:hanging="360"/>
        <w:rPr/>
      </w:pPr>
      <w:bookmarkStart w:colFirst="0" w:colLast="0" w:name="_nhjudfsx3xsj" w:id="15"/>
      <w:bookmarkEnd w:id="15"/>
      <w:r w:rsidDel="00000000" w:rsidR="00000000" w:rsidRPr="00000000">
        <w:rPr>
          <w:rtl w:val="0"/>
        </w:rPr>
        <w:t xml:space="preserve">Company Information</w:t>
      </w:r>
    </w:p>
    <w:p w:rsidR="00000000" w:rsidDel="00000000" w:rsidP="00000000" w:rsidRDefault="00000000" w:rsidRPr="00000000" w14:paraId="0000003F">
      <w:pPr>
        <w:pageBreakBefore w:val="0"/>
        <w:ind w:left="720" w:firstLine="0"/>
        <w:jc w:val="both"/>
        <w:rPr>
          <w:rFonts w:ascii="Helvetica" w:cs="Helvetica" w:eastAsia="Helvetica" w:hAnsi="Helvetica"/>
        </w:rPr>
      </w:pPr>
      <w:r w:rsidDel="00000000" w:rsidR="00000000" w:rsidRPr="00000000">
        <w:rPr>
          <w:rFonts w:ascii="Helvetica" w:cs="Helvetica" w:eastAsia="Helvetica" w:hAnsi="Helvetica"/>
          <w:rtl w:val="0"/>
        </w:rPr>
        <w:t xml:space="preserve">The London Borough of Sutton is a local authority in Greater London, one of 32 London boroughs. The main council offices are its Civic Offices which are located at: </w:t>
      </w:r>
    </w:p>
    <w:p w:rsidR="00000000" w:rsidDel="00000000" w:rsidP="00000000" w:rsidRDefault="00000000" w:rsidRPr="00000000" w14:paraId="00000040">
      <w:pPr>
        <w:pageBreakBefore w:val="0"/>
        <w:ind w:left="567" w:firstLine="0"/>
        <w:jc w:val="both"/>
        <w:rPr>
          <w:rFonts w:ascii="Helvetica" w:cs="Helvetica" w:eastAsia="Helvetica" w:hAnsi="Helvetica"/>
        </w:rPr>
      </w:pPr>
      <w:r w:rsidDel="00000000" w:rsidR="00000000" w:rsidRPr="00000000">
        <w:rPr>
          <w:rtl w:val="0"/>
        </w:rPr>
      </w:r>
    </w:p>
    <w:p w:rsidR="00000000" w:rsidDel="00000000" w:rsidP="00000000" w:rsidRDefault="00000000" w:rsidRPr="00000000" w14:paraId="00000041">
      <w:pPr>
        <w:pageBreakBefore w:val="0"/>
        <w:ind w:left="1287" w:firstLine="0"/>
        <w:jc w:val="both"/>
        <w:rPr>
          <w:rFonts w:ascii="Helvetica" w:cs="Helvetica" w:eastAsia="Helvetica" w:hAnsi="Helvetica"/>
        </w:rPr>
      </w:pPr>
      <w:r w:rsidDel="00000000" w:rsidR="00000000" w:rsidRPr="00000000">
        <w:rPr>
          <w:rFonts w:ascii="Helvetica" w:cs="Helvetica" w:eastAsia="Helvetica" w:hAnsi="Helvetica"/>
          <w:rtl w:val="0"/>
        </w:rPr>
        <w:t xml:space="preserve">St. Nicholas Way</w:t>
      </w:r>
    </w:p>
    <w:p w:rsidR="00000000" w:rsidDel="00000000" w:rsidP="00000000" w:rsidRDefault="00000000" w:rsidRPr="00000000" w14:paraId="00000042">
      <w:pPr>
        <w:pageBreakBefore w:val="0"/>
        <w:ind w:left="1287" w:firstLine="0"/>
        <w:jc w:val="both"/>
        <w:rPr>
          <w:rFonts w:ascii="Helvetica" w:cs="Helvetica" w:eastAsia="Helvetica" w:hAnsi="Helvetica"/>
        </w:rPr>
      </w:pPr>
      <w:r w:rsidDel="00000000" w:rsidR="00000000" w:rsidRPr="00000000">
        <w:rPr>
          <w:rFonts w:ascii="Helvetica" w:cs="Helvetica" w:eastAsia="Helvetica" w:hAnsi="Helvetica"/>
          <w:rtl w:val="0"/>
        </w:rPr>
        <w:t xml:space="preserve">Sutton</w:t>
      </w:r>
    </w:p>
    <w:p w:rsidR="00000000" w:rsidDel="00000000" w:rsidP="00000000" w:rsidRDefault="00000000" w:rsidRPr="00000000" w14:paraId="00000043">
      <w:pPr>
        <w:pageBreakBefore w:val="0"/>
        <w:ind w:left="1287" w:firstLine="0"/>
        <w:jc w:val="both"/>
        <w:rPr>
          <w:rFonts w:ascii="Helvetica" w:cs="Helvetica" w:eastAsia="Helvetica" w:hAnsi="Helvetica"/>
        </w:rPr>
      </w:pPr>
      <w:r w:rsidDel="00000000" w:rsidR="00000000" w:rsidRPr="00000000">
        <w:rPr>
          <w:rFonts w:ascii="Helvetica" w:cs="Helvetica" w:eastAsia="Helvetica" w:hAnsi="Helvetica"/>
          <w:rtl w:val="0"/>
        </w:rPr>
        <w:t xml:space="preserve">Surrey</w:t>
      </w:r>
    </w:p>
    <w:p w:rsidR="00000000" w:rsidDel="00000000" w:rsidP="00000000" w:rsidRDefault="00000000" w:rsidRPr="00000000" w14:paraId="00000044">
      <w:pPr>
        <w:pageBreakBefore w:val="0"/>
        <w:ind w:left="1287" w:firstLine="0"/>
        <w:jc w:val="both"/>
        <w:rPr>
          <w:rFonts w:ascii="Helvetica" w:cs="Helvetica" w:eastAsia="Helvetica" w:hAnsi="Helvetica"/>
        </w:rPr>
      </w:pPr>
      <w:r w:rsidDel="00000000" w:rsidR="00000000" w:rsidRPr="00000000">
        <w:rPr>
          <w:rFonts w:ascii="Helvetica" w:cs="Helvetica" w:eastAsia="Helvetica" w:hAnsi="Helvetica"/>
          <w:rtl w:val="0"/>
        </w:rPr>
        <w:t xml:space="preserve">SM1 1EA</w:t>
      </w:r>
    </w:p>
    <w:p w:rsidR="00000000" w:rsidDel="00000000" w:rsidP="00000000" w:rsidRDefault="00000000" w:rsidRPr="00000000" w14:paraId="00000045">
      <w:pPr>
        <w:pageBreakBefore w:val="0"/>
        <w:ind w:left="1287" w:firstLine="0"/>
        <w:jc w:val="both"/>
        <w:rPr>
          <w:rFonts w:ascii="Helvetica" w:cs="Helvetica" w:eastAsia="Helvetica" w:hAnsi="Helvetica"/>
        </w:rPr>
      </w:pPr>
      <w:r w:rsidDel="00000000" w:rsidR="00000000" w:rsidRPr="00000000">
        <w:rPr>
          <w:rtl w:val="0"/>
        </w:rPr>
      </w:r>
    </w:p>
    <w:bookmarkStart w:colFirst="0" w:colLast="0" w:name="ixa3wcdbqhn6" w:id="16"/>
    <w:bookmarkEnd w:id="16"/>
    <w:p w:rsidR="00000000" w:rsidDel="00000000" w:rsidP="00000000" w:rsidRDefault="00000000" w:rsidRPr="00000000" w14:paraId="00000046">
      <w:pPr>
        <w:pStyle w:val="Heading3"/>
        <w:pageBreakBefore w:val="0"/>
        <w:numPr>
          <w:ilvl w:val="1"/>
          <w:numId w:val="2"/>
        </w:numPr>
        <w:spacing w:line="276" w:lineRule="auto"/>
        <w:ind w:left="1440" w:hanging="360"/>
        <w:rPr/>
      </w:pPr>
      <w:bookmarkStart w:colFirst="0" w:colLast="0" w:name="_a7zglbomue9y" w:id="17"/>
      <w:bookmarkEnd w:id="17"/>
      <w:r w:rsidDel="00000000" w:rsidR="00000000" w:rsidRPr="00000000">
        <w:rPr>
          <w:rtl w:val="0"/>
        </w:rPr>
        <w:t xml:space="preserve">Reporting Period</w:t>
      </w:r>
    </w:p>
    <w:p w:rsidR="00000000" w:rsidDel="00000000" w:rsidP="00000000" w:rsidRDefault="00000000" w:rsidRPr="00000000" w14:paraId="00000047">
      <w:pPr>
        <w:pageBreakBefore w:val="0"/>
        <w:ind w:left="720" w:firstLine="0"/>
        <w:jc w:val="both"/>
        <w:rPr>
          <w:rFonts w:ascii="Helvetica" w:cs="Helvetica" w:eastAsia="Helvetica" w:hAnsi="Helvetica"/>
        </w:rPr>
      </w:pPr>
      <w:r w:rsidDel="00000000" w:rsidR="00000000" w:rsidRPr="00000000">
        <w:rPr>
          <w:rFonts w:ascii="Helvetica" w:cs="Helvetica" w:eastAsia="Helvetica" w:hAnsi="Helvetica"/>
          <w:rtl w:val="0"/>
        </w:rPr>
        <w:t xml:space="preserve">The reporting period used for this report is ‘2023’, </w:t>
      </w:r>
      <w:r w:rsidDel="00000000" w:rsidR="00000000" w:rsidRPr="00000000">
        <w:rPr>
          <w:rFonts w:ascii="Helvetica" w:cs="Helvetica" w:eastAsia="Helvetica" w:hAnsi="Helvetica"/>
          <w:rtl w:val="0"/>
        </w:rPr>
        <w:t xml:space="preserve">1 April 2023 – 31 March 202</w:t>
      </w:r>
      <w:r w:rsidDel="00000000" w:rsidR="00000000" w:rsidRPr="00000000">
        <w:rPr>
          <w:rFonts w:ascii="Helvetica" w:cs="Helvetica" w:eastAsia="Helvetica" w:hAnsi="Helvetica"/>
          <w:rtl w:val="0"/>
        </w:rPr>
        <w:t xml:space="preserve">4.</w:t>
      </w:r>
    </w:p>
    <w:p w:rsidR="00000000" w:rsidDel="00000000" w:rsidP="00000000" w:rsidRDefault="00000000" w:rsidRPr="00000000" w14:paraId="00000048">
      <w:pPr>
        <w:pageBreakBefore w:val="0"/>
        <w:ind w:left="720" w:firstLine="0"/>
        <w:jc w:val="both"/>
        <w:rPr>
          <w:rFonts w:ascii="Helvetica" w:cs="Helvetica" w:eastAsia="Helvetica" w:hAnsi="Helvetica"/>
        </w:rPr>
      </w:pPr>
      <w:r w:rsidDel="00000000" w:rsidR="00000000" w:rsidRPr="00000000">
        <w:rPr>
          <w:rtl w:val="0"/>
        </w:rPr>
      </w:r>
    </w:p>
    <w:bookmarkStart w:colFirst="0" w:colLast="0" w:name="mcdh15jo5mk5" w:id="18"/>
    <w:bookmarkEnd w:id="18"/>
    <w:p w:rsidR="00000000" w:rsidDel="00000000" w:rsidP="00000000" w:rsidRDefault="00000000" w:rsidRPr="00000000" w14:paraId="00000049">
      <w:pPr>
        <w:pStyle w:val="Heading3"/>
        <w:pageBreakBefore w:val="0"/>
        <w:numPr>
          <w:ilvl w:val="1"/>
          <w:numId w:val="2"/>
        </w:numPr>
        <w:spacing w:line="276" w:lineRule="auto"/>
        <w:ind w:left="1440" w:hanging="360"/>
        <w:jc w:val="both"/>
        <w:rPr/>
      </w:pPr>
      <w:bookmarkStart w:colFirst="0" w:colLast="0" w:name="_wvpwnt1pyrhy" w:id="19"/>
      <w:bookmarkEnd w:id="19"/>
      <w:r w:rsidDel="00000000" w:rsidR="00000000" w:rsidRPr="00000000">
        <w:rPr>
          <w:rtl w:val="0"/>
        </w:rPr>
        <w:t xml:space="preserve">Quantification and Reporting Methodology</w:t>
      </w:r>
    </w:p>
    <w:p w:rsidR="00000000" w:rsidDel="00000000" w:rsidP="00000000" w:rsidRDefault="00000000" w:rsidRPr="00000000" w14:paraId="0000004A">
      <w:pPr>
        <w:pageBreakBefore w:val="0"/>
        <w:ind w:left="720" w:firstLine="0"/>
        <w:jc w:val="both"/>
        <w:rPr>
          <w:rFonts w:ascii="Helvetica" w:cs="Helvetica" w:eastAsia="Helvetica" w:hAnsi="Helvetica"/>
        </w:rPr>
      </w:pPr>
      <w:r w:rsidDel="00000000" w:rsidR="00000000" w:rsidRPr="00000000">
        <w:rPr>
          <w:rFonts w:ascii="Helvetica" w:cs="Helvetica" w:eastAsia="Helvetica" w:hAnsi="Helvetica"/>
          <w:rtl w:val="0"/>
        </w:rPr>
        <w:t xml:space="preserve">We have followed the 2013 DEFRA guidance ‘Environmental Reporting Guidelines’. This guide is designed to help businesses measure and report their environmental impacts, including greenhouse gas emissions.</w:t>
      </w:r>
    </w:p>
    <w:p w:rsidR="00000000" w:rsidDel="00000000" w:rsidP="00000000" w:rsidRDefault="00000000" w:rsidRPr="00000000" w14:paraId="0000004B">
      <w:pPr>
        <w:pageBreakBefore w:val="0"/>
        <w:ind w:left="720" w:firstLine="0"/>
        <w:jc w:val="both"/>
        <w:rPr>
          <w:rFonts w:ascii="Helvetica" w:cs="Helvetica" w:eastAsia="Helvetica" w:hAnsi="Helvetica"/>
        </w:rPr>
      </w:pPr>
      <w:r w:rsidDel="00000000" w:rsidR="00000000" w:rsidRPr="00000000">
        <w:rPr>
          <w:rFonts w:ascii="Helvetica" w:cs="Helvetica" w:eastAsia="Helvetica" w:hAnsi="Helvetica"/>
          <w:rtl w:val="0"/>
        </w:rPr>
        <w:t xml:space="preserve">We have also used 2023 UK Government Conversion Factors for greenhouse gas reporting. </w:t>
      </w:r>
    </w:p>
    <w:p w:rsidR="00000000" w:rsidDel="00000000" w:rsidP="00000000" w:rsidRDefault="00000000" w:rsidRPr="00000000" w14:paraId="0000004C">
      <w:pPr>
        <w:pageBreakBefore w:val="0"/>
        <w:ind w:left="720" w:firstLine="0"/>
        <w:jc w:val="both"/>
        <w:rPr>
          <w:rFonts w:ascii="Helvetica" w:cs="Helvetica" w:eastAsia="Helvetica" w:hAnsi="Helvetica"/>
        </w:rPr>
      </w:pPr>
      <w:r w:rsidDel="00000000" w:rsidR="00000000" w:rsidRPr="00000000">
        <w:rPr>
          <w:rFonts w:ascii="Helvetica" w:cs="Helvetica" w:eastAsia="Helvetica" w:hAnsi="Helvetica"/>
          <w:rtl w:val="0"/>
        </w:rPr>
        <w:t xml:space="preserve">Using the </w:t>
      </w:r>
      <w:r w:rsidDel="00000000" w:rsidR="00000000" w:rsidRPr="00000000">
        <w:rPr>
          <w:rFonts w:ascii="Helvetica" w:cs="Helvetica" w:eastAsia="Helvetica" w:hAnsi="Helvetica"/>
          <w:rtl w:val="0"/>
        </w:rPr>
        <w:t xml:space="preserve">methodology</w:t>
      </w:r>
      <w:r w:rsidDel="00000000" w:rsidR="00000000" w:rsidRPr="00000000">
        <w:rPr>
          <w:rFonts w:ascii="Helvetica" w:cs="Helvetica" w:eastAsia="Helvetica" w:hAnsi="Helvetica"/>
          <w:rtl w:val="0"/>
        </w:rPr>
        <w:t xml:space="preserve"> above, greenhouse gas emissions are reported and </w:t>
      </w:r>
      <w:r w:rsidDel="00000000" w:rsidR="00000000" w:rsidRPr="00000000">
        <w:rPr>
          <w:rFonts w:ascii="Helvetica" w:cs="Helvetica" w:eastAsia="Helvetica" w:hAnsi="Helvetica"/>
          <w:rtl w:val="0"/>
        </w:rPr>
        <w:t xml:space="preserve">converted</w:t>
      </w:r>
      <w:r w:rsidDel="00000000" w:rsidR="00000000" w:rsidRPr="00000000">
        <w:rPr>
          <w:rFonts w:ascii="Helvetica" w:cs="Helvetica" w:eastAsia="Helvetica" w:hAnsi="Helvetica"/>
          <w:rtl w:val="0"/>
        </w:rPr>
        <w:t xml:space="preserve"> into a CO</w:t>
      </w:r>
      <w:r w:rsidDel="00000000" w:rsidR="00000000" w:rsidRPr="00000000">
        <w:rPr>
          <w:rFonts w:ascii="Helvetica" w:cs="Helvetica" w:eastAsia="Helvetica" w:hAnsi="Helvetica"/>
          <w:vertAlign w:val="subscript"/>
          <w:rtl w:val="0"/>
        </w:rPr>
        <w:t xml:space="preserve">2</w:t>
      </w:r>
      <w:r w:rsidDel="00000000" w:rsidR="00000000" w:rsidRPr="00000000">
        <w:rPr>
          <w:rFonts w:ascii="Helvetica" w:cs="Helvetica" w:eastAsia="Helvetica" w:hAnsi="Helvetica"/>
          <w:rtl w:val="0"/>
        </w:rPr>
        <w:t xml:space="preserve"> equivalent (CO</w:t>
      </w:r>
      <w:r w:rsidDel="00000000" w:rsidR="00000000" w:rsidRPr="00000000">
        <w:rPr>
          <w:rFonts w:ascii="Helvetica" w:cs="Helvetica" w:eastAsia="Helvetica" w:hAnsi="Helvetica"/>
          <w:vertAlign w:val="subscript"/>
          <w:rtl w:val="0"/>
        </w:rPr>
        <w:t xml:space="preserve">2</w:t>
      </w:r>
      <w:r w:rsidDel="00000000" w:rsidR="00000000" w:rsidRPr="00000000">
        <w:rPr>
          <w:rFonts w:ascii="Helvetica" w:cs="Helvetica" w:eastAsia="Helvetica" w:hAnsi="Helvetica"/>
          <w:rtl w:val="0"/>
        </w:rPr>
        <w:t xml:space="preserve">e)</w:t>
      </w:r>
      <w:r w:rsidDel="00000000" w:rsidR="00000000" w:rsidRPr="00000000">
        <w:rPr>
          <w:rtl w:val="0"/>
        </w:rPr>
      </w:r>
    </w:p>
    <w:bookmarkStart w:colFirst="0" w:colLast="0" w:name="d5nb4zem5te1" w:id="20"/>
    <w:bookmarkEnd w:id="20"/>
    <w:p w:rsidR="00000000" w:rsidDel="00000000" w:rsidP="00000000" w:rsidRDefault="00000000" w:rsidRPr="00000000" w14:paraId="0000004D">
      <w:pPr>
        <w:pStyle w:val="Heading2"/>
        <w:pageBreakBefore w:val="0"/>
        <w:numPr>
          <w:ilvl w:val="0"/>
          <w:numId w:val="4"/>
        </w:numPr>
        <w:spacing w:line="360" w:lineRule="auto"/>
        <w:ind w:left="720" w:hanging="821.9999999999998"/>
        <w:jc w:val="both"/>
        <w:rPr/>
      </w:pPr>
      <w:bookmarkStart w:colFirst="0" w:colLast="0" w:name="_m74b40b7okgk" w:id="21"/>
      <w:bookmarkEnd w:id="21"/>
      <w:r w:rsidDel="00000000" w:rsidR="00000000" w:rsidRPr="00000000">
        <w:rPr>
          <w:rtl w:val="0"/>
        </w:rPr>
        <w:t xml:space="preserve">Scope</w:t>
      </w:r>
    </w:p>
    <w:bookmarkStart w:colFirst="0" w:colLast="0" w:name="tuh2hr3qcvi" w:id="22"/>
    <w:bookmarkEnd w:id="22"/>
    <w:p w:rsidR="00000000" w:rsidDel="00000000" w:rsidP="00000000" w:rsidRDefault="00000000" w:rsidRPr="00000000" w14:paraId="0000004E">
      <w:pPr>
        <w:pStyle w:val="Heading3"/>
        <w:pageBreakBefore w:val="0"/>
        <w:numPr>
          <w:ilvl w:val="1"/>
          <w:numId w:val="4"/>
        </w:numPr>
        <w:spacing w:line="276" w:lineRule="auto"/>
        <w:ind w:left="1440" w:hanging="360"/>
        <w:jc w:val="both"/>
        <w:rPr/>
      </w:pPr>
      <w:bookmarkStart w:colFirst="0" w:colLast="0" w:name="_maz36czb49c" w:id="23"/>
      <w:bookmarkEnd w:id="23"/>
      <w:r w:rsidDel="00000000" w:rsidR="00000000" w:rsidRPr="00000000">
        <w:rPr>
          <w:rtl w:val="0"/>
        </w:rPr>
        <w:t xml:space="preserve">Organisational Boundary</w:t>
      </w:r>
    </w:p>
    <w:p w:rsidR="00000000" w:rsidDel="00000000" w:rsidP="00000000" w:rsidRDefault="00000000" w:rsidRPr="00000000" w14:paraId="0000004F">
      <w:pPr>
        <w:pageBreakBefore w:val="0"/>
        <w:spacing w:after="200" w:lineRule="auto"/>
        <w:ind w:left="720" w:firstLine="0"/>
        <w:jc w:val="both"/>
        <w:rPr>
          <w:rFonts w:ascii="Helvetica" w:cs="Helvetica" w:eastAsia="Helvetica" w:hAnsi="Helvetica"/>
          <w:b w:val="1"/>
        </w:rPr>
      </w:pPr>
      <w:r w:rsidDel="00000000" w:rsidR="00000000" w:rsidRPr="00000000">
        <w:rPr>
          <w:rFonts w:ascii="Helvetica" w:cs="Helvetica" w:eastAsia="Helvetica" w:hAnsi="Helvetica"/>
          <w:rtl w:val="0"/>
        </w:rPr>
        <w:t xml:space="preserve">The operations from which we collect data are those over which the Local </w:t>
      </w:r>
      <w:r w:rsidDel="00000000" w:rsidR="00000000" w:rsidRPr="00000000">
        <w:rPr>
          <w:rFonts w:ascii="Helvetica" w:cs="Helvetica" w:eastAsia="Helvetica" w:hAnsi="Helvetica"/>
          <w:rtl w:val="0"/>
        </w:rPr>
        <w:t xml:space="preserve">Authority</w:t>
      </w:r>
      <w:r w:rsidDel="00000000" w:rsidR="00000000" w:rsidRPr="00000000">
        <w:rPr>
          <w:rFonts w:ascii="Helvetica" w:cs="Helvetica" w:eastAsia="Helvetica" w:hAnsi="Helvetica"/>
          <w:rtl w:val="0"/>
        </w:rPr>
        <w:t xml:space="preserve"> has financial control (i.e. has the ability to direct their financial and operating policies). </w:t>
      </w:r>
      <w:r w:rsidDel="00000000" w:rsidR="00000000" w:rsidRPr="00000000">
        <w:rPr>
          <w:rFonts w:ascii="Helvetica" w:cs="Helvetica" w:eastAsia="Helvetica" w:hAnsi="Helvetica"/>
          <w:rtl w:val="0"/>
        </w:rPr>
        <w:t xml:space="preserve">Consequently, data from schools with academy status, social housing and properties let for commercial operations are excluded.</w:t>
      </w:r>
      <w:r w:rsidDel="00000000" w:rsidR="00000000" w:rsidRPr="00000000">
        <w:rPr>
          <w:rFonts w:ascii="Helvetica" w:cs="Helvetica" w:eastAsia="Helvetica" w:hAnsi="Helvetica"/>
          <w:rtl w:val="0"/>
        </w:rPr>
        <w:t xml:space="preserve"> Data from wholly owned subsidiaries of the council has also not been included.</w:t>
      </w:r>
      <w:r w:rsidDel="00000000" w:rsidR="00000000" w:rsidRPr="00000000">
        <w:rPr>
          <w:rtl w:val="0"/>
        </w:rPr>
      </w:r>
    </w:p>
    <w:bookmarkStart w:colFirst="0" w:colLast="0" w:name="fjhr5kb1r25w" w:id="24"/>
    <w:bookmarkEnd w:id="24"/>
    <w:p w:rsidR="00000000" w:rsidDel="00000000" w:rsidP="00000000" w:rsidRDefault="00000000" w:rsidRPr="00000000" w14:paraId="00000050">
      <w:pPr>
        <w:pStyle w:val="Heading3"/>
        <w:pageBreakBefore w:val="0"/>
        <w:numPr>
          <w:ilvl w:val="1"/>
          <w:numId w:val="4"/>
        </w:numPr>
        <w:spacing w:line="276" w:lineRule="auto"/>
        <w:ind w:left="1440" w:hanging="360"/>
        <w:jc w:val="both"/>
        <w:rPr/>
      </w:pPr>
      <w:bookmarkStart w:colFirst="0" w:colLast="0" w:name="_4tfqov8ol2ak" w:id="25"/>
      <w:bookmarkEnd w:id="25"/>
      <w:r w:rsidDel="00000000" w:rsidR="00000000" w:rsidRPr="00000000">
        <w:rPr>
          <w:rtl w:val="0"/>
        </w:rPr>
        <w:t xml:space="preserve">Operational Scopes</w:t>
      </w:r>
    </w:p>
    <w:p w:rsidR="00000000" w:rsidDel="00000000" w:rsidP="00000000" w:rsidRDefault="00000000" w:rsidRPr="00000000" w14:paraId="00000051">
      <w:pPr>
        <w:pageBreakBefore w:val="0"/>
        <w:ind w:left="720" w:firstLine="0"/>
        <w:jc w:val="both"/>
        <w:rPr>
          <w:rFonts w:ascii="Helvetica" w:cs="Helvetica" w:eastAsia="Helvetica" w:hAnsi="Helvetica"/>
        </w:rPr>
      </w:pPr>
      <w:r w:rsidDel="00000000" w:rsidR="00000000" w:rsidRPr="00000000">
        <w:rPr>
          <w:rFonts w:ascii="Helvetica" w:cs="Helvetica" w:eastAsia="Helvetica" w:hAnsi="Helvetica"/>
          <w:rtl w:val="0"/>
        </w:rPr>
        <w:t xml:space="preserve">We measure emissions from activities under scopes 1, 2 and, to a limited extent, scope 3 as shown in Table 1.</w:t>
      </w:r>
    </w:p>
    <w:p w:rsidR="00000000" w:rsidDel="00000000" w:rsidP="00000000" w:rsidRDefault="00000000" w:rsidRPr="00000000" w14:paraId="00000052">
      <w:pPr>
        <w:pageBreakBefore w:val="0"/>
        <w:widowControl w:val="0"/>
        <w:spacing w:after="100" w:line="276" w:lineRule="auto"/>
        <w:ind w:left="753.0000000000002" w:firstLine="0"/>
        <w:jc w:val="both"/>
        <w:rPr>
          <w:rFonts w:ascii="Helvetica" w:cs="Helvetica" w:eastAsia="Helvetica" w:hAnsi="Helvetica"/>
          <w:b w:val="1"/>
          <w:sz w:val="20"/>
          <w:szCs w:val="20"/>
        </w:rPr>
      </w:pPr>
      <w:r w:rsidDel="00000000" w:rsidR="00000000" w:rsidRPr="00000000">
        <w:rPr>
          <w:rtl w:val="0"/>
        </w:rPr>
      </w:r>
    </w:p>
    <w:p w:rsidR="00000000" w:rsidDel="00000000" w:rsidP="00000000" w:rsidRDefault="00000000" w:rsidRPr="00000000" w14:paraId="00000053">
      <w:pPr>
        <w:pStyle w:val="Heading4"/>
        <w:pageBreakBefore w:val="0"/>
        <w:widowControl w:val="0"/>
        <w:spacing w:after="100" w:line="360" w:lineRule="auto"/>
        <w:ind w:left="753.0000000000002" w:firstLine="0"/>
        <w:jc w:val="both"/>
        <w:rPr/>
      </w:pPr>
      <w:bookmarkStart w:colFirst="0" w:colLast="0" w:name="_abh25ye0u31e" w:id="26"/>
      <w:bookmarkEnd w:id="26"/>
      <w:r w:rsidDel="00000000" w:rsidR="00000000" w:rsidRPr="00000000">
        <w:br w:type="page"/>
      </w:r>
      <w:r w:rsidDel="00000000" w:rsidR="00000000" w:rsidRPr="00000000">
        <w:rPr>
          <w:rtl w:val="0"/>
        </w:rPr>
      </w:r>
    </w:p>
    <w:p w:rsidR="00000000" w:rsidDel="00000000" w:rsidP="00000000" w:rsidRDefault="00000000" w:rsidRPr="00000000" w14:paraId="00000054">
      <w:pPr>
        <w:pStyle w:val="Heading4"/>
        <w:pageBreakBefore w:val="0"/>
        <w:widowControl w:val="0"/>
        <w:spacing w:after="100" w:line="360" w:lineRule="auto"/>
        <w:ind w:left="753.0000000000002" w:firstLine="0"/>
        <w:jc w:val="both"/>
        <w:rPr/>
      </w:pPr>
      <w:bookmarkStart w:colFirst="0" w:colLast="0" w:name="_6ef6orvlluh1" w:id="27"/>
      <w:bookmarkEnd w:id="27"/>
      <w:r w:rsidDel="00000000" w:rsidR="00000000" w:rsidRPr="00000000">
        <w:rPr>
          <w:rtl w:val="0"/>
        </w:rPr>
        <w:t xml:space="preserve">Table 1: Declaration of reported emission-releasing activities</w:t>
      </w:r>
    </w:p>
    <w:tbl>
      <w:tblPr>
        <w:tblStyle w:val="Table1"/>
        <w:tblW w:w="8415.0" w:type="dxa"/>
        <w:jc w:val="left"/>
        <w:tblInd w:w="2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65"/>
        <w:gridCol w:w="945"/>
        <w:gridCol w:w="1305"/>
        <w:tblGridChange w:id="0">
          <w:tblGrid>
            <w:gridCol w:w="6165"/>
            <w:gridCol w:w="945"/>
            <w:gridCol w:w="1305"/>
          </w:tblGrid>
        </w:tblGridChange>
      </w:tblGrid>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pageBreakBefore w:val="0"/>
              <w:widowControl w:val="0"/>
              <w:rPr>
                <w:rFonts w:ascii="Helvetica" w:cs="Helvetica" w:eastAsia="Helvetica" w:hAnsi="Helvetica"/>
                <w:b w:val="1"/>
                <w:sz w:val="22"/>
                <w:szCs w:val="22"/>
              </w:rPr>
            </w:pPr>
            <w:r w:rsidDel="00000000" w:rsidR="00000000" w:rsidRPr="00000000">
              <w:rPr>
                <w:rFonts w:ascii="Helvetica" w:cs="Helvetica" w:eastAsia="Helvetica" w:hAnsi="Helvetica"/>
                <w:b w:val="1"/>
                <w:sz w:val="22"/>
                <w:szCs w:val="22"/>
                <w:rtl w:val="0"/>
              </w:rPr>
              <w:t xml:space="preserve">Council activity giving rise to significant carbon emissions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pageBreakBefore w:val="0"/>
              <w:widowControl w:val="0"/>
              <w:jc w:val="center"/>
              <w:rPr>
                <w:rFonts w:ascii="Helvetica" w:cs="Helvetica" w:eastAsia="Helvetica" w:hAnsi="Helvetica"/>
                <w:b w:val="1"/>
                <w:sz w:val="22"/>
                <w:szCs w:val="22"/>
              </w:rPr>
            </w:pPr>
            <w:r w:rsidDel="00000000" w:rsidR="00000000" w:rsidRPr="00000000">
              <w:rPr>
                <w:rFonts w:ascii="Helvetica" w:cs="Helvetica" w:eastAsia="Helvetica" w:hAnsi="Helvetica"/>
                <w:b w:val="1"/>
                <w:sz w:val="22"/>
                <w:szCs w:val="22"/>
                <w:rtl w:val="0"/>
              </w:rPr>
              <w:t xml:space="preserve">Scope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pageBreakBefore w:val="0"/>
              <w:widowControl w:val="0"/>
              <w:jc w:val="center"/>
              <w:rPr>
                <w:rFonts w:ascii="Helvetica" w:cs="Helvetica" w:eastAsia="Helvetica" w:hAnsi="Helvetica"/>
                <w:b w:val="1"/>
                <w:sz w:val="22"/>
                <w:szCs w:val="22"/>
              </w:rPr>
            </w:pPr>
            <w:r w:rsidDel="00000000" w:rsidR="00000000" w:rsidRPr="00000000">
              <w:rPr>
                <w:rFonts w:ascii="Helvetica" w:cs="Helvetica" w:eastAsia="Helvetica" w:hAnsi="Helvetica"/>
                <w:b w:val="1"/>
                <w:sz w:val="22"/>
                <w:szCs w:val="22"/>
                <w:rtl w:val="0"/>
              </w:rPr>
              <w:t xml:space="preserve">Reported in 2020/21</w:t>
            </w:r>
          </w:p>
        </w:tc>
      </w:tr>
      <w:tr>
        <w:trPr>
          <w:cantSplit w:val="0"/>
          <w:trHeight w:val="2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pageBreakBefore w:val="0"/>
              <w:widowControl w:val="0"/>
              <w:rPr>
                <w:rFonts w:ascii="Helvetica" w:cs="Helvetica" w:eastAsia="Helvetica" w:hAnsi="Helvetica"/>
                <w:sz w:val="22"/>
                <w:szCs w:val="22"/>
              </w:rPr>
            </w:pPr>
            <w:r w:rsidDel="00000000" w:rsidR="00000000" w:rsidRPr="00000000">
              <w:rPr>
                <w:rFonts w:ascii="Helvetica" w:cs="Helvetica" w:eastAsia="Helvetica" w:hAnsi="Helvetica"/>
                <w:sz w:val="22"/>
                <w:szCs w:val="22"/>
                <w:rtl w:val="0"/>
              </w:rPr>
              <w:t xml:space="preserve">Parks Maintenance (vehicles/equipment not owned or controlled by LA)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pageBreakBefore w:val="0"/>
              <w:widowControl w:val="0"/>
              <w:jc w:val="center"/>
              <w:rPr>
                <w:rFonts w:ascii="Helvetica" w:cs="Helvetica" w:eastAsia="Helvetica" w:hAnsi="Helvetica"/>
                <w:sz w:val="22"/>
                <w:szCs w:val="22"/>
              </w:rPr>
            </w:pPr>
            <w:r w:rsidDel="00000000" w:rsidR="00000000" w:rsidRPr="00000000">
              <w:rPr>
                <w:rFonts w:ascii="Helvetica" w:cs="Helvetica" w:eastAsia="Helvetica" w:hAnsi="Helvetica"/>
                <w:sz w:val="22"/>
                <w:szCs w:val="22"/>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pageBreakBefore w:val="0"/>
              <w:widowControl w:val="0"/>
              <w:jc w:val="center"/>
              <w:rPr>
                <w:rFonts w:ascii="Helvetica" w:cs="Helvetica" w:eastAsia="Helvetica" w:hAnsi="Helvetica"/>
                <w:sz w:val="22"/>
                <w:szCs w:val="22"/>
              </w:rPr>
            </w:pPr>
            <w:r w:rsidDel="00000000" w:rsidR="00000000" w:rsidRPr="00000000">
              <w:rPr>
                <w:rFonts w:ascii="Helvetica" w:cs="Helvetica" w:eastAsia="Helvetica" w:hAnsi="Helvetica"/>
                <w:sz w:val="22"/>
                <w:szCs w:val="22"/>
                <w:rtl w:val="0"/>
              </w:rPr>
              <w:t xml:space="preserve">Yes</w:t>
            </w:r>
          </w:p>
        </w:tc>
      </w:tr>
      <w:tr>
        <w:trPr>
          <w:cantSplit w:val="0"/>
          <w:trHeight w:val="2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pageBreakBefore w:val="0"/>
              <w:widowControl w:val="0"/>
              <w:rPr>
                <w:rFonts w:ascii="Helvetica" w:cs="Helvetica" w:eastAsia="Helvetica" w:hAnsi="Helvetica"/>
                <w:sz w:val="22"/>
                <w:szCs w:val="22"/>
              </w:rPr>
            </w:pPr>
            <w:r w:rsidDel="00000000" w:rsidR="00000000" w:rsidRPr="00000000">
              <w:rPr>
                <w:rFonts w:ascii="Helvetica" w:cs="Helvetica" w:eastAsia="Helvetica" w:hAnsi="Helvetica"/>
                <w:sz w:val="22"/>
                <w:szCs w:val="22"/>
                <w:rtl w:val="0"/>
              </w:rPr>
              <w:t xml:space="preserve">Premises* energy consumption (liquid and gaseous fuels)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pageBreakBefore w:val="0"/>
              <w:widowControl w:val="0"/>
              <w:jc w:val="center"/>
              <w:rPr>
                <w:rFonts w:ascii="Helvetica" w:cs="Helvetica" w:eastAsia="Helvetica" w:hAnsi="Helvetica"/>
                <w:sz w:val="22"/>
                <w:szCs w:val="22"/>
              </w:rPr>
            </w:pPr>
            <w:r w:rsidDel="00000000" w:rsidR="00000000" w:rsidRPr="00000000">
              <w:rPr>
                <w:rFonts w:ascii="Helvetica" w:cs="Helvetica" w:eastAsia="Helvetica" w:hAnsi="Helvetica"/>
                <w:sz w:val="22"/>
                <w:szCs w:val="22"/>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pageBreakBefore w:val="0"/>
              <w:widowControl w:val="0"/>
              <w:jc w:val="center"/>
              <w:rPr>
                <w:rFonts w:ascii="Helvetica" w:cs="Helvetica" w:eastAsia="Helvetica" w:hAnsi="Helvetica"/>
                <w:sz w:val="22"/>
                <w:szCs w:val="22"/>
              </w:rPr>
            </w:pPr>
            <w:r w:rsidDel="00000000" w:rsidR="00000000" w:rsidRPr="00000000">
              <w:rPr>
                <w:rFonts w:ascii="Helvetica" w:cs="Helvetica" w:eastAsia="Helvetica" w:hAnsi="Helvetica"/>
                <w:sz w:val="22"/>
                <w:szCs w:val="22"/>
                <w:rtl w:val="0"/>
              </w:rPr>
              <w:t xml:space="preserve">Yes</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pageBreakBefore w:val="0"/>
              <w:widowControl w:val="0"/>
              <w:spacing w:after="100" w:lineRule="auto"/>
              <w:rPr>
                <w:rFonts w:ascii="Helvetica" w:cs="Helvetica" w:eastAsia="Helvetica" w:hAnsi="Helvetica"/>
                <w:sz w:val="22"/>
                <w:szCs w:val="22"/>
              </w:rPr>
            </w:pPr>
            <w:r w:rsidDel="00000000" w:rsidR="00000000" w:rsidRPr="00000000">
              <w:rPr>
                <w:rFonts w:ascii="Helvetica" w:cs="Helvetica" w:eastAsia="Helvetica" w:hAnsi="Helvetica"/>
                <w:sz w:val="22"/>
                <w:szCs w:val="22"/>
                <w:rtl w:val="0"/>
              </w:rPr>
              <w:t xml:space="preserve">Premises* fugitive emissions (air conditioning leaks)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pageBreakBefore w:val="0"/>
              <w:widowControl w:val="0"/>
              <w:jc w:val="center"/>
              <w:rPr>
                <w:rFonts w:ascii="Helvetica" w:cs="Helvetica" w:eastAsia="Helvetica" w:hAnsi="Helvetica"/>
                <w:sz w:val="22"/>
                <w:szCs w:val="22"/>
              </w:rPr>
            </w:pPr>
            <w:r w:rsidDel="00000000" w:rsidR="00000000" w:rsidRPr="00000000">
              <w:rPr>
                <w:rFonts w:ascii="Helvetica" w:cs="Helvetica" w:eastAsia="Helvetica" w:hAnsi="Helvetica"/>
                <w:sz w:val="22"/>
                <w:szCs w:val="22"/>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pageBreakBefore w:val="0"/>
              <w:widowControl w:val="0"/>
              <w:jc w:val="center"/>
              <w:rPr>
                <w:rFonts w:ascii="Helvetica" w:cs="Helvetica" w:eastAsia="Helvetica" w:hAnsi="Helvetica"/>
                <w:sz w:val="22"/>
                <w:szCs w:val="22"/>
              </w:rPr>
            </w:pPr>
            <w:r w:rsidDel="00000000" w:rsidR="00000000" w:rsidRPr="00000000">
              <w:rPr>
                <w:rFonts w:ascii="Helvetica" w:cs="Helvetica" w:eastAsia="Helvetica" w:hAnsi="Helvetica"/>
                <w:sz w:val="22"/>
                <w:szCs w:val="22"/>
                <w:rtl w:val="0"/>
              </w:rPr>
              <w:t xml:space="preserve">No</w:t>
            </w:r>
          </w:p>
        </w:tc>
      </w:tr>
      <w:tr>
        <w:trPr>
          <w:cantSplit w:val="0"/>
          <w:trHeight w:val="2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pageBreakBefore w:val="0"/>
              <w:widowControl w:val="0"/>
              <w:rPr>
                <w:rFonts w:ascii="Helvetica" w:cs="Helvetica" w:eastAsia="Helvetica" w:hAnsi="Helvetica"/>
                <w:sz w:val="22"/>
                <w:szCs w:val="22"/>
              </w:rPr>
            </w:pPr>
            <w:r w:rsidDel="00000000" w:rsidR="00000000" w:rsidRPr="00000000">
              <w:rPr>
                <w:rFonts w:ascii="Helvetica" w:cs="Helvetica" w:eastAsia="Helvetica" w:hAnsi="Helvetica"/>
                <w:sz w:val="22"/>
                <w:szCs w:val="22"/>
                <w:rtl w:val="0"/>
              </w:rPr>
              <w:t xml:space="preserve">Premises* energy consumption (purchased electricity)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pageBreakBefore w:val="0"/>
              <w:widowControl w:val="0"/>
              <w:jc w:val="center"/>
              <w:rPr>
                <w:rFonts w:ascii="Helvetica" w:cs="Helvetica" w:eastAsia="Helvetica" w:hAnsi="Helvetica"/>
                <w:sz w:val="22"/>
                <w:szCs w:val="22"/>
              </w:rPr>
            </w:pPr>
            <w:r w:rsidDel="00000000" w:rsidR="00000000" w:rsidRPr="00000000">
              <w:rPr>
                <w:rFonts w:ascii="Helvetica" w:cs="Helvetica" w:eastAsia="Helvetica" w:hAnsi="Helvetica"/>
                <w:sz w:val="22"/>
                <w:szCs w:val="22"/>
                <w:rtl w:val="0"/>
              </w:rPr>
              <w:t xml:space="preserve">2, 3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pageBreakBefore w:val="0"/>
              <w:widowControl w:val="0"/>
              <w:jc w:val="center"/>
              <w:rPr>
                <w:rFonts w:ascii="Helvetica" w:cs="Helvetica" w:eastAsia="Helvetica" w:hAnsi="Helvetica"/>
                <w:sz w:val="22"/>
                <w:szCs w:val="22"/>
              </w:rPr>
            </w:pPr>
            <w:r w:rsidDel="00000000" w:rsidR="00000000" w:rsidRPr="00000000">
              <w:rPr>
                <w:rFonts w:ascii="Helvetica" w:cs="Helvetica" w:eastAsia="Helvetica" w:hAnsi="Helvetica"/>
                <w:sz w:val="22"/>
                <w:szCs w:val="22"/>
                <w:rtl w:val="0"/>
              </w:rPr>
              <w:t xml:space="preserve">Yes</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pageBreakBefore w:val="0"/>
              <w:widowControl w:val="0"/>
              <w:spacing w:after="100" w:lineRule="auto"/>
              <w:rPr>
                <w:rFonts w:ascii="Helvetica" w:cs="Helvetica" w:eastAsia="Helvetica" w:hAnsi="Helvetica"/>
                <w:sz w:val="22"/>
                <w:szCs w:val="22"/>
              </w:rPr>
            </w:pPr>
            <w:r w:rsidDel="00000000" w:rsidR="00000000" w:rsidRPr="00000000">
              <w:rPr>
                <w:rFonts w:ascii="Helvetica" w:cs="Helvetica" w:eastAsia="Helvetica" w:hAnsi="Helvetica"/>
                <w:sz w:val="22"/>
                <w:szCs w:val="22"/>
                <w:rtl w:val="0"/>
              </w:rPr>
              <w:t xml:space="preserve">Owned transport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pageBreakBefore w:val="0"/>
              <w:widowControl w:val="0"/>
              <w:jc w:val="center"/>
              <w:rPr>
                <w:rFonts w:ascii="Helvetica" w:cs="Helvetica" w:eastAsia="Helvetica" w:hAnsi="Helvetica"/>
                <w:sz w:val="22"/>
                <w:szCs w:val="22"/>
              </w:rPr>
            </w:pPr>
            <w:r w:rsidDel="00000000" w:rsidR="00000000" w:rsidRPr="00000000">
              <w:rPr>
                <w:rFonts w:ascii="Helvetica" w:cs="Helvetica" w:eastAsia="Helvetica" w:hAnsi="Helvetica"/>
                <w:sz w:val="22"/>
                <w:szCs w:val="22"/>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pageBreakBefore w:val="0"/>
              <w:widowControl w:val="0"/>
              <w:jc w:val="center"/>
              <w:rPr>
                <w:rFonts w:ascii="Helvetica" w:cs="Helvetica" w:eastAsia="Helvetica" w:hAnsi="Helvetica"/>
                <w:sz w:val="22"/>
                <w:szCs w:val="22"/>
              </w:rPr>
            </w:pPr>
            <w:r w:rsidDel="00000000" w:rsidR="00000000" w:rsidRPr="00000000">
              <w:rPr>
                <w:rFonts w:ascii="Helvetica" w:cs="Helvetica" w:eastAsia="Helvetica" w:hAnsi="Helvetica"/>
                <w:sz w:val="22"/>
                <w:szCs w:val="22"/>
                <w:rtl w:val="0"/>
              </w:rPr>
              <w:t xml:space="preserve">Yes</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pageBreakBefore w:val="0"/>
              <w:widowControl w:val="0"/>
              <w:spacing w:after="100" w:lineRule="auto"/>
              <w:rPr>
                <w:rFonts w:ascii="Helvetica" w:cs="Helvetica" w:eastAsia="Helvetica" w:hAnsi="Helvetica"/>
                <w:sz w:val="22"/>
                <w:szCs w:val="22"/>
              </w:rPr>
            </w:pPr>
            <w:r w:rsidDel="00000000" w:rsidR="00000000" w:rsidRPr="00000000">
              <w:rPr>
                <w:rFonts w:ascii="Helvetica" w:cs="Helvetica" w:eastAsia="Helvetica" w:hAnsi="Helvetica"/>
                <w:sz w:val="22"/>
                <w:szCs w:val="22"/>
                <w:rtl w:val="0"/>
              </w:rPr>
              <w:t xml:space="preserve">Staff business travel (vehicles not owned or controlled by LA)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pageBreakBefore w:val="0"/>
              <w:widowControl w:val="0"/>
              <w:jc w:val="center"/>
              <w:rPr>
                <w:rFonts w:ascii="Helvetica" w:cs="Helvetica" w:eastAsia="Helvetica" w:hAnsi="Helvetica"/>
                <w:sz w:val="22"/>
                <w:szCs w:val="22"/>
              </w:rPr>
            </w:pPr>
            <w:r w:rsidDel="00000000" w:rsidR="00000000" w:rsidRPr="00000000">
              <w:rPr>
                <w:rFonts w:ascii="Helvetica" w:cs="Helvetica" w:eastAsia="Helvetica" w:hAnsi="Helvetica"/>
                <w:sz w:val="22"/>
                <w:szCs w:val="22"/>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pageBreakBefore w:val="0"/>
              <w:widowControl w:val="0"/>
              <w:jc w:val="center"/>
              <w:rPr>
                <w:rFonts w:ascii="Helvetica" w:cs="Helvetica" w:eastAsia="Helvetica" w:hAnsi="Helvetica"/>
                <w:sz w:val="22"/>
                <w:szCs w:val="22"/>
              </w:rPr>
            </w:pPr>
            <w:r w:rsidDel="00000000" w:rsidR="00000000" w:rsidRPr="00000000">
              <w:rPr>
                <w:rFonts w:ascii="Helvetica" w:cs="Helvetica" w:eastAsia="Helvetica" w:hAnsi="Helvetica"/>
                <w:sz w:val="22"/>
                <w:szCs w:val="22"/>
                <w:rtl w:val="0"/>
              </w:rPr>
              <w:t xml:space="preserve">Yes</w:t>
            </w:r>
          </w:p>
        </w:tc>
      </w:tr>
      <w:tr>
        <w:trPr>
          <w:cantSplit w:val="0"/>
          <w:trHeight w:val="6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pageBreakBefore w:val="0"/>
              <w:widowControl w:val="0"/>
              <w:spacing w:after="100" w:lineRule="auto"/>
              <w:rPr>
                <w:rFonts w:ascii="Helvetica" w:cs="Helvetica" w:eastAsia="Helvetica" w:hAnsi="Helvetica"/>
                <w:sz w:val="22"/>
                <w:szCs w:val="22"/>
              </w:rPr>
            </w:pPr>
            <w:r w:rsidDel="00000000" w:rsidR="00000000" w:rsidRPr="00000000">
              <w:rPr>
                <w:rFonts w:ascii="Helvetica" w:cs="Helvetica" w:eastAsia="Helvetica" w:hAnsi="Helvetica"/>
                <w:sz w:val="22"/>
                <w:szCs w:val="22"/>
                <w:rtl w:val="0"/>
              </w:rPr>
              <w:t xml:space="preserve">Street lighting, traffic lights, signs and bollards (purchased electricity)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pageBreakBefore w:val="0"/>
              <w:widowControl w:val="0"/>
              <w:jc w:val="center"/>
              <w:rPr>
                <w:rFonts w:ascii="Helvetica" w:cs="Helvetica" w:eastAsia="Helvetica" w:hAnsi="Helvetica"/>
                <w:sz w:val="22"/>
                <w:szCs w:val="22"/>
              </w:rPr>
            </w:pPr>
            <w:r w:rsidDel="00000000" w:rsidR="00000000" w:rsidRPr="00000000">
              <w:rPr>
                <w:rFonts w:ascii="Helvetica" w:cs="Helvetica" w:eastAsia="Helvetica" w:hAnsi="Helvetica"/>
                <w:sz w:val="22"/>
                <w:szCs w:val="22"/>
                <w:rtl w:val="0"/>
              </w:rPr>
              <w:t xml:space="preserve">2, 3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pageBreakBefore w:val="0"/>
              <w:widowControl w:val="0"/>
              <w:jc w:val="center"/>
              <w:rPr>
                <w:rFonts w:ascii="Helvetica" w:cs="Helvetica" w:eastAsia="Helvetica" w:hAnsi="Helvetica"/>
                <w:sz w:val="22"/>
                <w:szCs w:val="22"/>
              </w:rPr>
            </w:pPr>
            <w:r w:rsidDel="00000000" w:rsidR="00000000" w:rsidRPr="00000000">
              <w:rPr>
                <w:rFonts w:ascii="Helvetica" w:cs="Helvetica" w:eastAsia="Helvetica" w:hAnsi="Helvetica"/>
                <w:sz w:val="22"/>
                <w:szCs w:val="22"/>
                <w:rtl w:val="0"/>
              </w:rPr>
              <w:t xml:space="preserve">Yes</w:t>
            </w:r>
          </w:p>
        </w:tc>
      </w:tr>
      <w:tr>
        <w:trPr>
          <w:cantSplit w:val="0"/>
          <w:trHeight w:val="6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pageBreakBefore w:val="0"/>
              <w:widowControl w:val="0"/>
              <w:spacing w:after="100" w:lineRule="auto"/>
              <w:rPr>
                <w:rFonts w:ascii="Helvetica" w:cs="Helvetica" w:eastAsia="Helvetica" w:hAnsi="Helvetica"/>
                <w:sz w:val="22"/>
                <w:szCs w:val="22"/>
              </w:rPr>
            </w:pPr>
            <w:r w:rsidDel="00000000" w:rsidR="00000000" w:rsidRPr="00000000">
              <w:rPr>
                <w:rFonts w:ascii="Helvetica" w:cs="Helvetica" w:eastAsia="Helvetica" w:hAnsi="Helvetica"/>
                <w:sz w:val="22"/>
                <w:szCs w:val="22"/>
                <w:rtl w:val="0"/>
              </w:rPr>
              <w:t xml:space="preserve">Waste Collections (vehicles not owned or controlled by LA)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pageBreakBefore w:val="0"/>
              <w:widowControl w:val="0"/>
              <w:jc w:val="center"/>
              <w:rPr>
                <w:rFonts w:ascii="Helvetica" w:cs="Helvetica" w:eastAsia="Helvetica" w:hAnsi="Helvetica"/>
                <w:sz w:val="22"/>
                <w:szCs w:val="22"/>
              </w:rPr>
            </w:pPr>
            <w:r w:rsidDel="00000000" w:rsidR="00000000" w:rsidRPr="00000000">
              <w:rPr>
                <w:rFonts w:ascii="Helvetica" w:cs="Helvetica" w:eastAsia="Helvetica" w:hAnsi="Helvetica"/>
                <w:sz w:val="22"/>
                <w:szCs w:val="22"/>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pageBreakBefore w:val="0"/>
              <w:widowControl w:val="0"/>
              <w:jc w:val="center"/>
              <w:rPr>
                <w:rFonts w:ascii="Helvetica" w:cs="Helvetica" w:eastAsia="Helvetica" w:hAnsi="Helvetica"/>
                <w:sz w:val="22"/>
                <w:szCs w:val="22"/>
              </w:rPr>
            </w:pPr>
            <w:r w:rsidDel="00000000" w:rsidR="00000000" w:rsidRPr="00000000">
              <w:rPr>
                <w:rFonts w:ascii="Helvetica" w:cs="Helvetica" w:eastAsia="Helvetica" w:hAnsi="Helvetica"/>
                <w:sz w:val="22"/>
                <w:szCs w:val="22"/>
                <w:rtl w:val="0"/>
              </w:rPr>
              <w:t xml:space="preserve">Yes</w:t>
            </w:r>
          </w:p>
        </w:tc>
      </w:tr>
    </w:tbl>
    <w:p w:rsidR="00000000" w:rsidDel="00000000" w:rsidP="00000000" w:rsidRDefault="00000000" w:rsidRPr="00000000" w14:paraId="00000070">
      <w:pPr>
        <w:pageBreakBefore w:val="0"/>
        <w:widowControl w:val="0"/>
        <w:spacing w:after="100" w:line="276" w:lineRule="auto"/>
        <w:ind w:left="1323.0000000000005" w:firstLine="0"/>
        <w:jc w:val="right"/>
        <w:rPr>
          <w:rFonts w:ascii="Helvetica" w:cs="Helvetica" w:eastAsia="Helvetica" w:hAnsi="Helvetica"/>
          <w:sz w:val="18"/>
          <w:szCs w:val="18"/>
        </w:rPr>
      </w:pPr>
      <w:r w:rsidDel="00000000" w:rsidR="00000000" w:rsidRPr="00000000">
        <w:rPr>
          <w:rFonts w:ascii="Helvetica" w:cs="Helvetica" w:eastAsia="Helvetica" w:hAnsi="Helvetica"/>
          <w:sz w:val="22"/>
          <w:szCs w:val="22"/>
          <w:rtl w:val="0"/>
        </w:rPr>
        <w:t xml:space="preserve">*</w:t>
      </w:r>
      <w:r w:rsidDel="00000000" w:rsidR="00000000" w:rsidRPr="00000000">
        <w:rPr>
          <w:rFonts w:ascii="Helvetica" w:cs="Helvetica" w:eastAsia="Helvetica" w:hAnsi="Helvetica"/>
          <w:sz w:val="18"/>
          <w:szCs w:val="18"/>
          <w:rtl w:val="0"/>
        </w:rPr>
        <w:t xml:space="preserve">Our premises include maintained , voluntary aided and foundation schools, offices, libraries, day care centres, youth centres and community centres</w:t>
      </w:r>
    </w:p>
    <w:p w:rsidR="00000000" w:rsidDel="00000000" w:rsidP="00000000" w:rsidRDefault="00000000" w:rsidRPr="00000000" w14:paraId="00000071">
      <w:pPr>
        <w:pageBreakBefore w:val="0"/>
        <w:widowControl w:val="0"/>
        <w:spacing w:after="100" w:line="276" w:lineRule="auto"/>
        <w:ind w:left="1323.0000000000005" w:firstLine="0"/>
        <w:jc w:val="right"/>
        <w:rPr>
          <w:rFonts w:ascii="Helvetica" w:cs="Helvetica" w:eastAsia="Helvetica" w:hAnsi="Helvetica"/>
          <w:sz w:val="18"/>
          <w:szCs w:val="18"/>
        </w:rPr>
      </w:pPr>
      <w:r w:rsidDel="00000000" w:rsidR="00000000" w:rsidRPr="00000000">
        <w:rPr>
          <w:rtl w:val="0"/>
        </w:rPr>
      </w:r>
    </w:p>
    <w:bookmarkStart w:colFirst="0" w:colLast="0" w:name="7i8vztpj8bh2" w:id="28"/>
    <w:bookmarkEnd w:id="28"/>
    <w:p w:rsidR="00000000" w:rsidDel="00000000" w:rsidP="00000000" w:rsidRDefault="00000000" w:rsidRPr="00000000" w14:paraId="00000072">
      <w:pPr>
        <w:pStyle w:val="Heading2"/>
        <w:pageBreakBefore w:val="0"/>
        <w:numPr>
          <w:ilvl w:val="0"/>
          <w:numId w:val="4"/>
        </w:numPr>
        <w:spacing w:before="200" w:line="240" w:lineRule="auto"/>
        <w:ind w:left="720" w:hanging="821.9999999999998"/>
        <w:jc w:val="both"/>
        <w:rPr/>
      </w:pPr>
      <w:bookmarkStart w:colFirst="0" w:colLast="0" w:name="_oprq714prrye" w:id="29"/>
      <w:bookmarkEnd w:id="29"/>
      <w:r w:rsidDel="00000000" w:rsidR="00000000" w:rsidRPr="00000000">
        <w:rPr>
          <w:rtl w:val="0"/>
        </w:rPr>
        <w:t xml:space="preserve">Results</w:t>
      </w:r>
    </w:p>
    <w:bookmarkStart w:colFirst="0" w:colLast="0" w:name="923mfmhtag00" w:id="30"/>
    <w:bookmarkEnd w:id="30"/>
    <w:p w:rsidR="00000000" w:rsidDel="00000000" w:rsidP="00000000" w:rsidRDefault="00000000" w:rsidRPr="00000000" w14:paraId="00000073">
      <w:pPr>
        <w:pStyle w:val="Heading3"/>
        <w:pageBreakBefore w:val="0"/>
        <w:widowControl w:val="0"/>
        <w:numPr>
          <w:ilvl w:val="1"/>
          <w:numId w:val="4"/>
        </w:numPr>
        <w:spacing w:after="0" w:afterAutospacing="0" w:line="360" w:lineRule="auto"/>
        <w:ind w:left="1440" w:hanging="360"/>
        <w:rPr/>
      </w:pPr>
      <w:bookmarkStart w:colFirst="0" w:colLast="0" w:name="_jnyd43chh1iv" w:id="31"/>
      <w:bookmarkEnd w:id="31"/>
      <w:r w:rsidDel="00000000" w:rsidR="00000000" w:rsidRPr="00000000">
        <w:rPr>
          <w:rtl w:val="0"/>
        </w:rPr>
        <w:t xml:space="preserve">Headline results for </w:t>
      </w:r>
      <w:r w:rsidDel="00000000" w:rsidR="00000000" w:rsidRPr="00000000">
        <w:rPr>
          <w:highlight w:val="white"/>
          <w:rtl w:val="0"/>
        </w:rPr>
        <w:t xml:space="preserve">2023/24</w:t>
      </w:r>
    </w:p>
    <w:p w:rsidR="00000000" w:rsidDel="00000000" w:rsidP="00000000" w:rsidRDefault="00000000" w:rsidRPr="00000000" w14:paraId="00000074">
      <w:pPr>
        <w:pageBreakBefore w:val="0"/>
        <w:widowControl w:val="0"/>
        <w:numPr>
          <w:ilvl w:val="2"/>
          <w:numId w:val="4"/>
        </w:numPr>
        <w:spacing w:after="200" w:line="276" w:lineRule="auto"/>
        <w:ind w:left="2160" w:hanging="360"/>
        <w:rPr>
          <w:rFonts w:ascii="Helvetica" w:cs="Helvetica" w:eastAsia="Helvetica" w:hAnsi="Helvetica"/>
          <w:highlight w:val="white"/>
        </w:rPr>
      </w:pPr>
      <w:r w:rsidDel="00000000" w:rsidR="00000000" w:rsidRPr="00000000">
        <w:rPr>
          <w:rFonts w:ascii="Helvetica" w:cs="Helvetica" w:eastAsia="Helvetica" w:hAnsi="Helvetica"/>
          <w:highlight w:val="white"/>
          <w:rtl w:val="0"/>
        </w:rPr>
        <w:t xml:space="preserve">The total</w:t>
      </w:r>
      <w:r w:rsidDel="00000000" w:rsidR="00000000" w:rsidRPr="00000000">
        <w:rPr>
          <w:rFonts w:ascii="Helvetica" w:cs="Helvetica" w:eastAsia="Helvetica" w:hAnsi="Helvetica"/>
          <w:highlight w:val="white"/>
          <w:vertAlign w:val="superscript"/>
        </w:rPr>
        <w:footnoteReference w:customMarkFollows="0" w:id="0"/>
      </w:r>
      <w:r w:rsidDel="00000000" w:rsidR="00000000" w:rsidRPr="00000000">
        <w:rPr>
          <w:rFonts w:ascii="Helvetica" w:cs="Helvetica" w:eastAsia="Helvetica" w:hAnsi="Helvetica"/>
          <w:highlight w:val="white"/>
          <w:rtl w:val="0"/>
        </w:rPr>
        <w:t xml:space="preserve"> </w:t>
      </w:r>
      <w:r w:rsidDel="00000000" w:rsidR="00000000" w:rsidRPr="00000000">
        <w:rPr>
          <w:rFonts w:ascii="Helvetica" w:cs="Helvetica" w:eastAsia="Helvetica" w:hAnsi="Helvetica"/>
          <w:highlight w:val="white"/>
          <w:rtl w:val="0"/>
        </w:rPr>
        <w:t xml:space="preserve">net</w:t>
      </w:r>
      <w:r w:rsidDel="00000000" w:rsidR="00000000" w:rsidRPr="00000000">
        <w:rPr>
          <w:rFonts w:ascii="Helvetica" w:cs="Helvetica" w:eastAsia="Helvetica" w:hAnsi="Helvetica"/>
          <w:highlight w:val="white"/>
          <w:rtl w:val="0"/>
        </w:rPr>
        <w:t xml:space="preserve"> GHG emissions from our own operations in 2023 was 7,444 tonnes CO</w:t>
      </w:r>
      <w:r w:rsidDel="00000000" w:rsidR="00000000" w:rsidRPr="00000000">
        <w:rPr>
          <w:rFonts w:ascii="Helvetica" w:cs="Helvetica" w:eastAsia="Helvetica" w:hAnsi="Helvetica"/>
          <w:highlight w:val="white"/>
          <w:vertAlign w:val="subscript"/>
          <w:rtl w:val="0"/>
        </w:rPr>
        <w:t xml:space="preserve">2</w:t>
      </w:r>
      <w:r w:rsidDel="00000000" w:rsidR="00000000" w:rsidRPr="00000000">
        <w:rPr>
          <w:rFonts w:ascii="Helvetica" w:cs="Helvetica" w:eastAsia="Helvetica" w:hAnsi="Helvetica"/>
          <w:highlight w:val="white"/>
          <w:rtl w:val="0"/>
        </w:rPr>
        <w:t xml:space="preserve">e, which is 57</w:t>
      </w:r>
      <w:r w:rsidDel="00000000" w:rsidR="00000000" w:rsidRPr="00000000">
        <w:rPr>
          <w:rFonts w:ascii="Helvetica" w:cs="Helvetica" w:eastAsia="Helvetica" w:hAnsi="Helvetica"/>
          <w:highlight w:val="white"/>
          <w:rtl w:val="0"/>
        </w:rPr>
        <w:t xml:space="preserve">% lower than the 2008 base year emissions.</w:t>
      </w:r>
    </w:p>
    <w:p w:rsidR="00000000" w:rsidDel="00000000" w:rsidP="00000000" w:rsidRDefault="00000000" w:rsidRPr="00000000" w14:paraId="00000075">
      <w:pPr>
        <w:pageBreakBefore w:val="0"/>
        <w:widowControl w:val="0"/>
        <w:numPr>
          <w:ilvl w:val="2"/>
          <w:numId w:val="4"/>
        </w:numPr>
        <w:spacing w:after="0" w:afterAutospacing="0" w:line="276" w:lineRule="auto"/>
        <w:ind w:left="2160" w:hanging="360"/>
        <w:rPr>
          <w:rFonts w:ascii="Helvetica" w:cs="Helvetica" w:eastAsia="Helvetica" w:hAnsi="Helvetica"/>
          <w:highlight w:val="white"/>
        </w:rPr>
      </w:pPr>
      <w:r w:rsidDel="00000000" w:rsidR="00000000" w:rsidRPr="00000000">
        <w:rPr>
          <w:rFonts w:ascii="Helvetica" w:cs="Helvetica" w:eastAsia="Helvetica" w:hAnsi="Helvetica"/>
          <w:highlight w:val="white"/>
          <w:rtl w:val="0"/>
        </w:rPr>
        <w:t xml:space="preserve">Our GHG emissions from scopes 1 and 2 activities </w:t>
      </w:r>
      <w:r w:rsidDel="00000000" w:rsidR="00000000" w:rsidRPr="00000000">
        <w:rPr>
          <w:rFonts w:ascii="Helvetica" w:cs="Helvetica" w:eastAsia="Helvetica" w:hAnsi="Helvetica"/>
          <w:highlight w:val="white"/>
          <w:rtl w:val="0"/>
        </w:rPr>
        <w:t xml:space="preserve">have</w:t>
      </w:r>
      <w:r w:rsidDel="00000000" w:rsidR="00000000" w:rsidRPr="00000000">
        <w:rPr>
          <w:rFonts w:ascii="Helvetica" w:cs="Helvetica" w:eastAsia="Helvetica" w:hAnsi="Helvetica"/>
          <w:highlight w:val="white"/>
          <w:rtl w:val="0"/>
        </w:rPr>
        <w:t xml:space="preserve"> decreased by 63% (10,117 tonnes) compared to the base year. By scope, the changes from 2008 to 2023 were:</w:t>
      </w:r>
    </w:p>
    <w:p w:rsidR="00000000" w:rsidDel="00000000" w:rsidP="00000000" w:rsidRDefault="00000000" w:rsidRPr="00000000" w14:paraId="00000076">
      <w:pPr>
        <w:pageBreakBefore w:val="0"/>
        <w:widowControl w:val="0"/>
        <w:numPr>
          <w:ilvl w:val="0"/>
          <w:numId w:val="3"/>
        </w:numPr>
        <w:spacing w:after="0" w:afterAutospacing="0" w:line="276" w:lineRule="auto"/>
        <w:ind w:left="2880" w:hanging="360"/>
        <w:rPr>
          <w:rFonts w:ascii="Helvetica" w:cs="Helvetica" w:eastAsia="Helvetica" w:hAnsi="Helvetica"/>
          <w:highlight w:val="white"/>
        </w:rPr>
      </w:pPr>
      <w:r w:rsidDel="00000000" w:rsidR="00000000" w:rsidRPr="00000000">
        <w:rPr>
          <w:rFonts w:ascii="Helvetica" w:cs="Helvetica" w:eastAsia="Helvetica" w:hAnsi="Helvetica"/>
          <w:highlight w:val="white"/>
          <w:rtl w:val="0"/>
        </w:rPr>
        <w:t xml:space="preserve">Scope 1 emissions decreased by 52%</w:t>
      </w:r>
    </w:p>
    <w:p w:rsidR="00000000" w:rsidDel="00000000" w:rsidP="00000000" w:rsidRDefault="00000000" w:rsidRPr="00000000" w14:paraId="00000077">
      <w:pPr>
        <w:pageBreakBefore w:val="0"/>
        <w:widowControl w:val="0"/>
        <w:numPr>
          <w:ilvl w:val="0"/>
          <w:numId w:val="3"/>
        </w:numPr>
        <w:spacing w:after="0" w:line="480" w:lineRule="auto"/>
        <w:ind w:left="2880" w:hanging="360"/>
        <w:rPr>
          <w:rFonts w:ascii="Helvetica" w:cs="Helvetica" w:eastAsia="Helvetica" w:hAnsi="Helvetica"/>
          <w:highlight w:val="white"/>
        </w:rPr>
      </w:pPr>
      <w:r w:rsidDel="00000000" w:rsidR="00000000" w:rsidRPr="00000000">
        <w:rPr>
          <w:rFonts w:ascii="Helvetica" w:cs="Helvetica" w:eastAsia="Helvetica" w:hAnsi="Helvetica"/>
          <w:highlight w:val="white"/>
          <w:rtl w:val="0"/>
        </w:rPr>
        <w:t xml:space="preserve">Scope 2 emissions decreased by 70%</w:t>
      </w:r>
    </w:p>
    <w:p w:rsidR="00000000" w:rsidDel="00000000" w:rsidP="00000000" w:rsidRDefault="00000000" w:rsidRPr="00000000" w14:paraId="00000078">
      <w:pPr>
        <w:pageBreakBefore w:val="0"/>
        <w:numPr>
          <w:ilvl w:val="2"/>
          <w:numId w:val="4"/>
        </w:numPr>
        <w:spacing w:before="0" w:lineRule="auto"/>
        <w:ind w:left="2160" w:hanging="360"/>
        <w:jc w:val="both"/>
        <w:rPr>
          <w:rFonts w:ascii="Helvetica" w:cs="Helvetica" w:eastAsia="Helvetica" w:hAnsi="Helvetica"/>
          <w:sz w:val="22"/>
          <w:szCs w:val="22"/>
          <w:highlight w:val="white"/>
        </w:rPr>
      </w:pPr>
      <w:r w:rsidDel="00000000" w:rsidR="00000000" w:rsidRPr="00000000">
        <w:rPr>
          <w:rFonts w:ascii="Helvetica" w:cs="Helvetica" w:eastAsia="Helvetica" w:hAnsi="Helvetica"/>
          <w:highlight w:val="white"/>
          <w:rtl w:val="0"/>
        </w:rPr>
        <w:t xml:space="preserve">Our overall intensity ratio which measures emissions per m</w:t>
      </w:r>
      <w:r w:rsidDel="00000000" w:rsidR="00000000" w:rsidRPr="00000000">
        <w:rPr>
          <w:rFonts w:ascii="Helvetica" w:cs="Helvetica" w:eastAsia="Helvetica" w:hAnsi="Helvetica"/>
          <w:highlight w:val="white"/>
          <w:vertAlign w:val="superscript"/>
          <w:rtl w:val="0"/>
        </w:rPr>
        <w:t xml:space="preserve">2</w:t>
      </w:r>
      <w:r w:rsidDel="00000000" w:rsidR="00000000" w:rsidRPr="00000000">
        <w:rPr>
          <w:rFonts w:ascii="Helvetica" w:cs="Helvetica" w:eastAsia="Helvetica" w:hAnsi="Helvetica"/>
          <w:highlight w:val="white"/>
          <w:rtl w:val="0"/>
        </w:rPr>
        <w:t xml:space="preserve"> has also reduced by 57% compared to the </w:t>
      </w:r>
      <w:r w:rsidDel="00000000" w:rsidR="00000000" w:rsidRPr="00000000">
        <w:rPr>
          <w:rFonts w:ascii="Helvetica" w:cs="Helvetica" w:eastAsia="Helvetica" w:hAnsi="Helvetica"/>
          <w:highlight w:val="white"/>
          <w:rtl w:val="0"/>
        </w:rPr>
        <w:t xml:space="preserve">2008</w:t>
      </w:r>
      <w:r w:rsidDel="00000000" w:rsidR="00000000" w:rsidRPr="00000000">
        <w:rPr>
          <w:rFonts w:ascii="Helvetica" w:cs="Helvetica" w:eastAsia="Helvetica" w:hAnsi="Helvetica"/>
          <w:highlight w:val="white"/>
          <w:rtl w:val="0"/>
        </w:rPr>
        <w:t xml:space="preserve"> base year. This ratio allows us to measure changes which are due to reductions in consumption as opposed to changes in the size or </w:t>
      </w:r>
      <w:r w:rsidDel="00000000" w:rsidR="00000000" w:rsidRPr="00000000">
        <w:rPr>
          <w:rFonts w:ascii="Helvetica" w:cs="Helvetica" w:eastAsia="Helvetica" w:hAnsi="Helvetica"/>
          <w:highlight w:val="white"/>
          <w:rtl w:val="0"/>
        </w:rPr>
        <w:t xml:space="preserve">number of</w:t>
      </w:r>
      <w:r w:rsidDel="00000000" w:rsidR="00000000" w:rsidRPr="00000000">
        <w:rPr>
          <w:rFonts w:ascii="Helvetica" w:cs="Helvetica" w:eastAsia="Helvetica" w:hAnsi="Helvetica"/>
          <w:highlight w:val="white"/>
          <w:rtl w:val="0"/>
        </w:rPr>
        <w:t xml:space="preserve"> properties within our portfolio. </w:t>
      </w:r>
      <w:r w:rsidDel="00000000" w:rsidR="00000000" w:rsidRPr="00000000">
        <w:br w:type="page"/>
      </w:r>
      <w:r w:rsidDel="00000000" w:rsidR="00000000" w:rsidRPr="00000000">
        <w:rPr>
          <w:rtl w:val="0"/>
        </w:rPr>
      </w:r>
    </w:p>
    <w:bookmarkStart w:colFirst="0" w:colLast="0" w:name="b4bjzau1e5x0" w:id="32"/>
    <w:bookmarkEnd w:id="32"/>
    <w:p w:rsidR="00000000" w:rsidDel="00000000" w:rsidP="00000000" w:rsidRDefault="00000000" w:rsidRPr="00000000" w14:paraId="00000079">
      <w:pPr>
        <w:pStyle w:val="Heading3"/>
        <w:pageBreakBefore w:val="0"/>
        <w:widowControl w:val="0"/>
        <w:numPr>
          <w:ilvl w:val="1"/>
          <w:numId w:val="4"/>
        </w:numPr>
        <w:spacing w:after="100" w:line="360" w:lineRule="auto"/>
        <w:ind w:left="1440" w:hanging="360"/>
        <w:rPr/>
      </w:pPr>
      <w:bookmarkStart w:colFirst="0" w:colLast="0" w:name="_mvaob05elyug" w:id="33"/>
      <w:bookmarkEnd w:id="33"/>
      <w:r w:rsidDel="00000000" w:rsidR="00000000" w:rsidRPr="00000000">
        <w:rPr>
          <w:rtl w:val="0"/>
        </w:rPr>
        <w:t xml:space="preserve">Results by scope and activity</w:t>
      </w:r>
    </w:p>
    <w:p w:rsidR="00000000" w:rsidDel="00000000" w:rsidP="00000000" w:rsidRDefault="00000000" w:rsidRPr="00000000" w14:paraId="0000007A">
      <w:pPr>
        <w:pageBreakBefore w:val="0"/>
        <w:spacing w:line="360" w:lineRule="auto"/>
        <w:ind w:left="425.19685039370086" w:firstLine="0"/>
        <w:rPr>
          <w:rFonts w:ascii="Helvetica" w:cs="Helvetica" w:eastAsia="Helvetica" w:hAnsi="Helvetica"/>
          <w:b w:val="1"/>
          <w:sz w:val="20"/>
          <w:szCs w:val="20"/>
        </w:rPr>
      </w:pPr>
      <w:r w:rsidDel="00000000" w:rsidR="00000000" w:rsidRPr="00000000">
        <w:rPr>
          <w:rtl w:val="0"/>
        </w:rPr>
      </w:r>
    </w:p>
    <w:p w:rsidR="00000000" w:rsidDel="00000000" w:rsidP="00000000" w:rsidRDefault="00000000" w:rsidRPr="00000000" w14:paraId="0000007B">
      <w:pPr>
        <w:pageBreakBefore w:val="0"/>
        <w:spacing w:line="360" w:lineRule="auto"/>
        <w:ind w:left="0" w:firstLine="0"/>
        <w:rPr>
          <w:rFonts w:ascii="Helvetica" w:cs="Helvetica" w:eastAsia="Helvetica" w:hAnsi="Helvetica"/>
          <w:sz w:val="20"/>
          <w:szCs w:val="20"/>
          <w:vertAlign w:val="baseline"/>
        </w:rPr>
      </w:pPr>
      <w:r w:rsidDel="00000000" w:rsidR="00000000" w:rsidRPr="00000000">
        <w:rPr>
          <w:rFonts w:ascii="Helvetica" w:cs="Helvetica" w:eastAsia="Helvetica" w:hAnsi="Helvetica"/>
          <w:b w:val="1"/>
          <w:sz w:val="20"/>
          <w:szCs w:val="20"/>
          <w:rtl w:val="0"/>
        </w:rPr>
        <w:t xml:space="preserve">Table 2: GHG emissions by scope for current period and baseline year</w:t>
      </w:r>
      <w:r w:rsidDel="00000000" w:rsidR="00000000" w:rsidRPr="00000000">
        <w:rPr>
          <w:rtl w:val="0"/>
        </w:rPr>
      </w:r>
    </w:p>
    <w:tbl>
      <w:tblPr>
        <w:tblStyle w:val="Table2"/>
        <w:tblW w:w="859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60"/>
        <w:gridCol w:w="2175"/>
        <w:gridCol w:w="2160"/>
        <w:tblGridChange w:id="0">
          <w:tblGrid>
            <w:gridCol w:w="4260"/>
            <w:gridCol w:w="2175"/>
            <w:gridCol w:w="2160"/>
          </w:tblGrid>
        </w:tblGridChange>
      </w:tblGrid>
      <w:tr>
        <w:trPr>
          <w:cantSplit w:val="0"/>
          <w:trHeight w:val="380" w:hRule="atLeast"/>
          <w:tblHeader w:val="0"/>
        </w:trPr>
        <w:tc>
          <w:tcPr>
            <w:vAlign w:val="center"/>
          </w:tcPr>
          <w:p w:rsidR="00000000" w:rsidDel="00000000" w:rsidP="00000000" w:rsidRDefault="00000000" w:rsidRPr="00000000" w14:paraId="0000007C">
            <w:pPr>
              <w:pageBreakBefore w:val="0"/>
              <w:jc w:val="center"/>
              <w:rPr>
                <w:rFonts w:ascii="Helvetica" w:cs="Helvetica" w:eastAsia="Helvetica" w:hAnsi="Helvetica"/>
                <w:sz w:val="22"/>
                <w:szCs w:val="22"/>
                <w:vertAlign w:val="baseline"/>
              </w:rPr>
            </w:pPr>
            <w:r w:rsidDel="00000000" w:rsidR="00000000" w:rsidRPr="00000000">
              <w:rPr>
                <w:rtl w:val="0"/>
              </w:rPr>
            </w:r>
          </w:p>
        </w:tc>
        <w:tc>
          <w:tcPr>
            <w:gridSpan w:val="2"/>
            <w:vAlign w:val="center"/>
          </w:tcPr>
          <w:p w:rsidR="00000000" w:rsidDel="00000000" w:rsidP="00000000" w:rsidRDefault="00000000" w:rsidRPr="00000000" w14:paraId="0000007D">
            <w:pPr>
              <w:pageBreakBefore w:val="0"/>
              <w:jc w:val="center"/>
              <w:rPr>
                <w:rFonts w:ascii="Helvetica" w:cs="Helvetica" w:eastAsia="Helvetica" w:hAnsi="Helvetica"/>
                <w:sz w:val="22"/>
                <w:szCs w:val="22"/>
                <w:vertAlign w:val="baseline"/>
              </w:rPr>
            </w:pPr>
            <w:r w:rsidDel="00000000" w:rsidR="00000000" w:rsidRPr="00000000">
              <w:rPr>
                <w:rFonts w:ascii="Helvetica" w:cs="Helvetica" w:eastAsia="Helvetica" w:hAnsi="Helvetica"/>
                <w:sz w:val="22"/>
                <w:szCs w:val="22"/>
                <w:vertAlign w:val="baseline"/>
                <w:rtl w:val="0"/>
              </w:rPr>
              <w:t xml:space="preserve">Tonnes of CO</w:t>
            </w:r>
            <w:r w:rsidDel="00000000" w:rsidR="00000000" w:rsidRPr="00000000">
              <w:rPr>
                <w:rFonts w:ascii="Helvetica" w:cs="Helvetica" w:eastAsia="Helvetica" w:hAnsi="Helvetica"/>
                <w:sz w:val="22"/>
                <w:szCs w:val="22"/>
                <w:vertAlign w:val="subscript"/>
                <w:rtl w:val="0"/>
              </w:rPr>
              <w:t xml:space="preserve">2</w:t>
            </w:r>
            <w:r w:rsidDel="00000000" w:rsidR="00000000" w:rsidRPr="00000000">
              <w:rPr>
                <w:rFonts w:ascii="Helvetica" w:cs="Helvetica" w:eastAsia="Helvetica" w:hAnsi="Helvetica"/>
                <w:sz w:val="22"/>
                <w:szCs w:val="22"/>
                <w:vertAlign w:val="baseline"/>
                <w:rtl w:val="0"/>
              </w:rPr>
              <w:t xml:space="preserve">e</w:t>
            </w:r>
          </w:p>
        </w:tc>
      </w:tr>
      <w:tr>
        <w:trPr>
          <w:cantSplit w:val="0"/>
          <w:trHeight w:val="380" w:hRule="atLeast"/>
          <w:tblHeader w:val="0"/>
        </w:trPr>
        <w:tc>
          <w:tcPr>
            <w:shd w:fill="ffffff" w:val="clear"/>
            <w:vAlign w:val="center"/>
          </w:tcPr>
          <w:p w:rsidR="00000000" w:rsidDel="00000000" w:rsidP="00000000" w:rsidRDefault="00000000" w:rsidRPr="00000000" w14:paraId="0000007F">
            <w:pPr>
              <w:pageBreakBefore w:val="0"/>
              <w:jc w:val="center"/>
              <w:rPr>
                <w:rFonts w:ascii="Helvetica" w:cs="Helvetica" w:eastAsia="Helvetica" w:hAnsi="Helvetica"/>
                <w:sz w:val="22"/>
                <w:szCs w:val="22"/>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80">
            <w:pPr>
              <w:pageBreakBefore w:val="0"/>
              <w:jc w:val="center"/>
              <w:rPr>
                <w:rFonts w:ascii="Helvetica" w:cs="Helvetica" w:eastAsia="Helvetica" w:hAnsi="Helvetica"/>
                <w:sz w:val="22"/>
                <w:szCs w:val="22"/>
                <w:highlight w:val="white"/>
                <w:vertAlign w:val="baseline"/>
              </w:rPr>
            </w:pPr>
            <w:r w:rsidDel="00000000" w:rsidR="00000000" w:rsidRPr="00000000">
              <w:rPr>
                <w:rFonts w:ascii="Helvetica" w:cs="Helvetica" w:eastAsia="Helvetica" w:hAnsi="Helvetica"/>
                <w:sz w:val="22"/>
                <w:szCs w:val="22"/>
                <w:highlight w:val="white"/>
                <w:vertAlign w:val="baseline"/>
                <w:rtl w:val="0"/>
              </w:rPr>
              <w:t xml:space="preserve">20</w:t>
            </w:r>
            <w:r w:rsidDel="00000000" w:rsidR="00000000" w:rsidRPr="00000000">
              <w:rPr>
                <w:rFonts w:ascii="Helvetica" w:cs="Helvetica" w:eastAsia="Helvetica" w:hAnsi="Helvetica"/>
                <w:sz w:val="22"/>
                <w:szCs w:val="22"/>
                <w:highlight w:val="white"/>
                <w:rtl w:val="0"/>
              </w:rPr>
              <w:t xml:space="preserve">23</w:t>
            </w:r>
            <w:r w:rsidDel="00000000" w:rsidR="00000000" w:rsidRPr="00000000">
              <w:rPr>
                <w:rtl w:val="0"/>
              </w:rPr>
            </w:r>
          </w:p>
        </w:tc>
        <w:tc>
          <w:tcPr>
            <w:shd w:fill="ccffcc" w:val="clear"/>
            <w:vAlign w:val="center"/>
          </w:tcPr>
          <w:p w:rsidR="00000000" w:rsidDel="00000000" w:rsidP="00000000" w:rsidRDefault="00000000" w:rsidRPr="00000000" w14:paraId="00000081">
            <w:pPr>
              <w:pageBreakBefore w:val="0"/>
              <w:jc w:val="center"/>
              <w:rPr>
                <w:rFonts w:ascii="Helvetica" w:cs="Helvetica" w:eastAsia="Helvetica" w:hAnsi="Helvetica"/>
                <w:sz w:val="22"/>
                <w:szCs w:val="22"/>
                <w:vertAlign w:val="baseline"/>
              </w:rPr>
            </w:pPr>
            <w:r w:rsidDel="00000000" w:rsidR="00000000" w:rsidRPr="00000000">
              <w:rPr>
                <w:rFonts w:ascii="Helvetica" w:cs="Helvetica" w:eastAsia="Helvetica" w:hAnsi="Helvetica"/>
                <w:sz w:val="22"/>
                <w:szCs w:val="22"/>
                <w:vertAlign w:val="baseline"/>
                <w:rtl w:val="0"/>
              </w:rPr>
              <w:t xml:space="preserve">Base Year 2008</w:t>
            </w:r>
          </w:p>
        </w:tc>
      </w:tr>
      <w:tr>
        <w:trPr>
          <w:cantSplit w:val="0"/>
          <w:trHeight w:val="440" w:hRule="atLeast"/>
          <w:tblHeader w:val="0"/>
        </w:trPr>
        <w:tc>
          <w:tcPr>
            <w:shd w:fill="ffffff" w:val="clear"/>
            <w:vAlign w:val="center"/>
          </w:tcPr>
          <w:p w:rsidR="00000000" w:rsidDel="00000000" w:rsidP="00000000" w:rsidRDefault="00000000" w:rsidRPr="00000000" w14:paraId="00000082">
            <w:pPr>
              <w:pageBreakBefore w:val="0"/>
              <w:rPr>
                <w:rFonts w:ascii="Helvetica" w:cs="Helvetica" w:eastAsia="Helvetica" w:hAnsi="Helvetica"/>
                <w:sz w:val="22"/>
                <w:szCs w:val="22"/>
                <w:vertAlign w:val="baseline"/>
              </w:rPr>
            </w:pPr>
            <w:r w:rsidDel="00000000" w:rsidR="00000000" w:rsidRPr="00000000">
              <w:rPr>
                <w:rFonts w:ascii="Helvetica" w:cs="Helvetica" w:eastAsia="Helvetica" w:hAnsi="Helvetica"/>
                <w:b w:val="1"/>
                <w:sz w:val="22"/>
                <w:szCs w:val="22"/>
                <w:vertAlign w:val="baseline"/>
                <w:rtl w:val="0"/>
              </w:rPr>
              <w:t xml:space="preserve">Scope 1</w:t>
            </w:r>
            <w:r w:rsidDel="00000000" w:rsidR="00000000" w:rsidRPr="00000000">
              <w:rPr>
                <w:rtl w:val="0"/>
              </w:rPr>
            </w:r>
          </w:p>
        </w:tc>
        <w:tc>
          <w:tcPr>
            <w:shd w:fill="ffffff" w:val="clear"/>
            <w:vAlign w:val="center"/>
          </w:tcPr>
          <w:p w:rsidR="00000000" w:rsidDel="00000000" w:rsidP="00000000" w:rsidRDefault="00000000" w:rsidRPr="00000000" w14:paraId="00000083">
            <w:pPr>
              <w:pageBreakBefore w:val="0"/>
              <w:jc w:val="center"/>
              <w:rPr>
                <w:rFonts w:ascii="Helvetica" w:cs="Helvetica" w:eastAsia="Helvetica" w:hAnsi="Helvetica"/>
                <w:sz w:val="22"/>
                <w:szCs w:val="22"/>
                <w:highlight w:val="white"/>
                <w:vertAlign w:val="baseline"/>
              </w:rPr>
            </w:pPr>
            <w:r w:rsidDel="00000000" w:rsidR="00000000" w:rsidRPr="00000000">
              <w:rPr>
                <w:rFonts w:ascii="Helvetica" w:cs="Helvetica" w:eastAsia="Helvetica" w:hAnsi="Helvetica"/>
                <w:sz w:val="22"/>
                <w:szCs w:val="22"/>
                <w:highlight w:val="white"/>
                <w:rtl w:val="0"/>
              </w:rPr>
              <w:t xml:space="preserve">2,950</w:t>
            </w:r>
            <w:r w:rsidDel="00000000" w:rsidR="00000000" w:rsidRPr="00000000">
              <w:rPr>
                <w:rtl w:val="0"/>
              </w:rPr>
            </w:r>
          </w:p>
        </w:tc>
        <w:tc>
          <w:tcPr>
            <w:shd w:fill="ccffcc" w:val="clear"/>
            <w:vAlign w:val="center"/>
          </w:tcPr>
          <w:p w:rsidR="00000000" w:rsidDel="00000000" w:rsidP="00000000" w:rsidRDefault="00000000" w:rsidRPr="00000000" w14:paraId="00000084">
            <w:pPr>
              <w:pageBreakBefore w:val="0"/>
              <w:jc w:val="center"/>
              <w:rPr>
                <w:rFonts w:ascii="Helvetica" w:cs="Helvetica" w:eastAsia="Helvetica" w:hAnsi="Helvetica"/>
                <w:sz w:val="22"/>
                <w:szCs w:val="22"/>
                <w:vertAlign w:val="baseline"/>
              </w:rPr>
            </w:pPr>
            <w:r w:rsidDel="00000000" w:rsidR="00000000" w:rsidRPr="00000000">
              <w:rPr>
                <w:rFonts w:ascii="Helvetica" w:cs="Helvetica" w:eastAsia="Helvetica" w:hAnsi="Helvetica"/>
                <w:sz w:val="22"/>
                <w:szCs w:val="22"/>
                <w:rtl w:val="0"/>
              </w:rPr>
              <w:t xml:space="preserve">6,095</w:t>
            </w:r>
            <w:r w:rsidDel="00000000" w:rsidR="00000000" w:rsidRPr="00000000">
              <w:rPr>
                <w:rtl w:val="0"/>
              </w:rPr>
            </w:r>
          </w:p>
        </w:tc>
      </w:tr>
      <w:tr>
        <w:trPr>
          <w:cantSplit w:val="0"/>
          <w:trHeight w:val="440" w:hRule="atLeast"/>
          <w:tblHeader w:val="0"/>
        </w:trPr>
        <w:tc>
          <w:tcPr>
            <w:tcBorders>
              <w:bottom w:color="000000" w:space="0" w:sz="4" w:val="single"/>
            </w:tcBorders>
            <w:shd w:fill="ffffff" w:val="clear"/>
            <w:vAlign w:val="center"/>
          </w:tcPr>
          <w:p w:rsidR="00000000" w:rsidDel="00000000" w:rsidP="00000000" w:rsidRDefault="00000000" w:rsidRPr="00000000" w14:paraId="00000085">
            <w:pPr>
              <w:pageBreakBefore w:val="0"/>
              <w:rPr>
                <w:rFonts w:ascii="Helvetica" w:cs="Helvetica" w:eastAsia="Helvetica" w:hAnsi="Helvetica"/>
                <w:sz w:val="22"/>
                <w:szCs w:val="22"/>
                <w:vertAlign w:val="baseline"/>
              </w:rPr>
            </w:pPr>
            <w:r w:rsidDel="00000000" w:rsidR="00000000" w:rsidRPr="00000000">
              <w:rPr>
                <w:rFonts w:ascii="Helvetica" w:cs="Helvetica" w:eastAsia="Helvetica" w:hAnsi="Helvetica"/>
                <w:b w:val="1"/>
                <w:sz w:val="22"/>
                <w:szCs w:val="22"/>
                <w:vertAlign w:val="baseline"/>
                <w:rtl w:val="0"/>
              </w:rPr>
              <w:t xml:space="preserve">Scope 2</w:t>
            </w:r>
            <w:r w:rsidDel="00000000" w:rsidR="00000000" w:rsidRPr="00000000">
              <w:rPr>
                <w:rtl w:val="0"/>
              </w:rPr>
            </w:r>
          </w:p>
        </w:tc>
        <w:tc>
          <w:tcPr>
            <w:tcBorders>
              <w:bottom w:color="000000" w:space="0" w:sz="4" w:val="single"/>
            </w:tcBorders>
            <w:shd w:fill="ffffff" w:val="clear"/>
            <w:vAlign w:val="center"/>
          </w:tcPr>
          <w:p w:rsidR="00000000" w:rsidDel="00000000" w:rsidP="00000000" w:rsidRDefault="00000000" w:rsidRPr="00000000" w14:paraId="00000086">
            <w:pPr>
              <w:pageBreakBefore w:val="0"/>
              <w:jc w:val="center"/>
              <w:rPr>
                <w:rFonts w:ascii="Helvetica" w:cs="Helvetica" w:eastAsia="Helvetica" w:hAnsi="Helvetica"/>
                <w:sz w:val="22"/>
                <w:szCs w:val="22"/>
                <w:highlight w:val="white"/>
                <w:vertAlign w:val="baseline"/>
              </w:rPr>
            </w:pPr>
            <w:r w:rsidDel="00000000" w:rsidR="00000000" w:rsidRPr="00000000">
              <w:rPr>
                <w:rFonts w:ascii="Helvetica" w:cs="Helvetica" w:eastAsia="Helvetica" w:hAnsi="Helvetica"/>
                <w:sz w:val="22"/>
                <w:szCs w:val="22"/>
                <w:highlight w:val="white"/>
                <w:rtl w:val="0"/>
              </w:rPr>
              <w:t xml:space="preserve">3,040</w:t>
            </w:r>
            <w:r w:rsidDel="00000000" w:rsidR="00000000" w:rsidRPr="00000000">
              <w:rPr>
                <w:rtl w:val="0"/>
              </w:rPr>
            </w:r>
          </w:p>
        </w:tc>
        <w:tc>
          <w:tcPr>
            <w:tcBorders>
              <w:bottom w:color="000000" w:space="0" w:sz="4" w:val="single"/>
            </w:tcBorders>
            <w:shd w:fill="ccffcc" w:val="clear"/>
            <w:vAlign w:val="center"/>
          </w:tcPr>
          <w:p w:rsidR="00000000" w:rsidDel="00000000" w:rsidP="00000000" w:rsidRDefault="00000000" w:rsidRPr="00000000" w14:paraId="00000087">
            <w:pPr>
              <w:pageBreakBefore w:val="0"/>
              <w:jc w:val="center"/>
              <w:rPr>
                <w:rFonts w:ascii="Helvetica" w:cs="Helvetica" w:eastAsia="Helvetica" w:hAnsi="Helvetica"/>
                <w:sz w:val="22"/>
                <w:szCs w:val="22"/>
                <w:vertAlign w:val="baseline"/>
              </w:rPr>
            </w:pPr>
            <w:r w:rsidDel="00000000" w:rsidR="00000000" w:rsidRPr="00000000">
              <w:rPr>
                <w:rFonts w:ascii="Helvetica" w:cs="Helvetica" w:eastAsia="Helvetica" w:hAnsi="Helvetica"/>
                <w:sz w:val="22"/>
                <w:szCs w:val="22"/>
                <w:rtl w:val="0"/>
              </w:rPr>
              <w:t xml:space="preserve">10,012</w:t>
            </w:r>
            <w:r w:rsidDel="00000000" w:rsidR="00000000" w:rsidRPr="00000000">
              <w:rPr>
                <w:rtl w:val="0"/>
              </w:rPr>
            </w:r>
          </w:p>
        </w:tc>
      </w:tr>
      <w:tr>
        <w:trPr>
          <w:cantSplit w:val="0"/>
          <w:trHeight w:val="440" w:hRule="atLeast"/>
          <w:tblHeader w:val="0"/>
        </w:trPr>
        <w:tc>
          <w:tcPr>
            <w:tcBorders>
              <w:bottom w:color="000000" w:space="0" w:sz="4" w:val="single"/>
            </w:tcBorders>
            <w:shd w:fill="ffffff" w:val="clear"/>
            <w:vAlign w:val="center"/>
          </w:tcPr>
          <w:p w:rsidR="00000000" w:rsidDel="00000000" w:rsidP="00000000" w:rsidRDefault="00000000" w:rsidRPr="00000000" w14:paraId="00000088">
            <w:pPr>
              <w:pageBreakBefore w:val="0"/>
              <w:rPr>
                <w:rFonts w:ascii="Helvetica" w:cs="Helvetica" w:eastAsia="Helvetica" w:hAnsi="Helvetica"/>
                <w:sz w:val="22"/>
                <w:szCs w:val="22"/>
                <w:vertAlign w:val="baseline"/>
              </w:rPr>
            </w:pPr>
            <w:r w:rsidDel="00000000" w:rsidR="00000000" w:rsidRPr="00000000">
              <w:rPr>
                <w:rFonts w:ascii="Helvetica" w:cs="Helvetica" w:eastAsia="Helvetica" w:hAnsi="Helvetica"/>
                <w:b w:val="1"/>
                <w:sz w:val="22"/>
                <w:szCs w:val="22"/>
                <w:vertAlign w:val="baseline"/>
                <w:rtl w:val="0"/>
              </w:rPr>
              <w:t xml:space="preserve">Scope 3</w:t>
            </w:r>
            <w:r w:rsidDel="00000000" w:rsidR="00000000" w:rsidRPr="00000000">
              <w:rPr>
                <w:rtl w:val="0"/>
              </w:rPr>
            </w:r>
          </w:p>
        </w:tc>
        <w:tc>
          <w:tcPr>
            <w:tcBorders>
              <w:bottom w:color="000000" w:space="0" w:sz="4" w:val="single"/>
            </w:tcBorders>
            <w:shd w:fill="ffffff" w:val="clear"/>
            <w:vAlign w:val="center"/>
          </w:tcPr>
          <w:p w:rsidR="00000000" w:rsidDel="00000000" w:rsidP="00000000" w:rsidRDefault="00000000" w:rsidRPr="00000000" w14:paraId="00000089">
            <w:pPr>
              <w:pageBreakBefore w:val="0"/>
              <w:jc w:val="center"/>
              <w:rPr>
                <w:rFonts w:ascii="Helvetica" w:cs="Helvetica" w:eastAsia="Helvetica" w:hAnsi="Helvetica"/>
                <w:sz w:val="22"/>
                <w:szCs w:val="22"/>
                <w:highlight w:val="white"/>
              </w:rPr>
            </w:pPr>
            <w:r w:rsidDel="00000000" w:rsidR="00000000" w:rsidRPr="00000000">
              <w:rPr>
                <w:rFonts w:ascii="Helvetica" w:cs="Helvetica" w:eastAsia="Helvetica" w:hAnsi="Helvetica"/>
                <w:sz w:val="22"/>
                <w:szCs w:val="22"/>
                <w:highlight w:val="white"/>
                <w:rtl w:val="0"/>
              </w:rPr>
              <w:t xml:space="preserve">1,393</w:t>
            </w:r>
          </w:p>
        </w:tc>
        <w:tc>
          <w:tcPr>
            <w:tcBorders>
              <w:bottom w:color="000000" w:space="0" w:sz="4" w:val="single"/>
            </w:tcBorders>
            <w:shd w:fill="ccffcc" w:val="clear"/>
            <w:vAlign w:val="center"/>
          </w:tcPr>
          <w:p w:rsidR="00000000" w:rsidDel="00000000" w:rsidP="00000000" w:rsidRDefault="00000000" w:rsidRPr="00000000" w14:paraId="0000008A">
            <w:pPr>
              <w:pageBreakBefore w:val="0"/>
              <w:jc w:val="center"/>
              <w:rPr>
                <w:rFonts w:ascii="Helvetica" w:cs="Helvetica" w:eastAsia="Helvetica" w:hAnsi="Helvetica"/>
                <w:sz w:val="22"/>
                <w:szCs w:val="22"/>
                <w:vertAlign w:val="baseline"/>
              </w:rPr>
            </w:pPr>
            <w:r w:rsidDel="00000000" w:rsidR="00000000" w:rsidRPr="00000000">
              <w:rPr>
                <w:rFonts w:ascii="Helvetica" w:cs="Helvetica" w:eastAsia="Helvetica" w:hAnsi="Helvetica"/>
                <w:sz w:val="22"/>
                <w:szCs w:val="22"/>
                <w:rtl w:val="0"/>
              </w:rPr>
              <w:t xml:space="preserve">1,010</w:t>
            </w:r>
            <w:r w:rsidDel="00000000" w:rsidR="00000000" w:rsidRPr="00000000">
              <w:rPr>
                <w:rtl w:val="0"/>
              </w:rPr>
            </w:r>
          </w:p>
        </w:tc>
      </w:tr>
      <w:tr>
        <w:trPr>
          <w:cantSplit w:val="0"/>
          <w:trHeight w:val="440" w:hRule="atLeast"/>
          <w:tblHeader w:val="0"/>
        </w:trPr>
        <w:tc>
          <w:tcPr>
            <w:tcBorders>
              <w:bottom w:color="000000" w:space="0" w:sz="4" w:val="single"/>
            </w:tcBorders>
            <w:shd w:fill="ffffff" w:val="clear"/>
            <w:vAlign w:val="center"/>
          </w:tcPr>
          <w:p w:rsidR="00000000" w:rsidDel="00000000" w:rsidP="00000000" w:rsidRDefault="00000000" w:rsidRPr="00000000" w14:paraId="0000008B">
            <w:pPr>
              <w:pageBreakBefore w:val="0"/>
              <w:rPr>
                <w:rFonts w:ascii="Helvetica" w:cs="Helvetica" w:eastAsia="Helvetica" w:hAnsi="Helvetica"/>
                <w:sz w:val="22"/>
                <w:szCs w:val="22"/>
                <w:vertAlign w:val="baseline"/>
              </w:rPr>
            </w:pPr>
            <w:r w:rsidDel="00000000" w:rsidR="00000000" w:rsidRPr="00000000">
              <w:rPr>
                <w:rFonts w:ascii="Helvetica" w:cs="Helvetica" w:eastAsia="Helvetica" w:hAnsi="Helvetica"/>
                <w:b w:val="1"/>
                <w:sz w:val="22"/>
                <w:szCs w:val="22"/>
                <w:vertAlign w:val="baseline"/>
                <w:rtl w:val="0"/>
              </w:rPr>
              <w:t xml:space="preserve">Outside of Scope</w:t>
            </w:r>
            <w:r w:rsidDel="00000000" w:rsidR="00000000" w:rsidRPr="00000000">
              <w:rPr>
                <w:rtl w:val="0"/>
              </w:rPr>
            </w:r>
          </w:p>
        </w:tc>
        <w:tc>
          <w:tcPr>
            <w:tcBorders>
              <w:bottom w:color="000000" w:space="0" w:sz="4" w:val="single"/>
            </w:tcBorders>
            <w:shd w:fill="ffffff" w:val="clear"/>
            <w:vAlign w:val="center"/>
          </w:tcPr>
          <w:p w:rsidR="00000000" w:rsidDel="00000000" w:rsidP="00000000" w:rsidRDefault="00000000" w:rsidRPr="00000000" w14:paraId="0000008C">
            <w:pPr>
              <w:pageBreakBefore w:val="0"/>
              <w:jc w:val="center"/>
              <w:rPr>
                <w:rFonts w:ascii="Helvetica" w:cs="Helvetica" w:eastAsia="Helvetica" w:hAnsi="Helvetica"/>
                <w:sz w:val="22"/>
                <w:szCs w:val="22"/>
                <w:highlight w:val="white"/>
                <w:vertAlign w:val="baseline"/>
              </w:rPr>
            </w:pPr>
            <w:r w:rsidDel="00000000" w:rsidR="00000000" w:rsidRPr="00000000">
              <w:rPr>
                <w:rFonts w:ascii="Helvetica" w:cs="Helvetica" w:eastAsia="Helvetica" w:hAnsi="Helvetica"/>
                <w:sz w:val="22"/>
                <w:szCs w:val="22"/>
                <w:highlight w:val="white"/>
                <w:rtl w:val="0"/>
              </w:rPr>
              <w:t xml:space="preserve">61</w:t>
            </w:r>
            <w:r w:rsidDel="00000000" w:rsidR="00000000" w:rsidRPr="00000000">
              <w:rPr>
                <w:rtl w:val="0"/>
              </w:rPr>
            </w:r>
          </w:p>
        </w:tc>
        <w:tc>
          <w:tcPr>
            <w:tcBorders>
              <w:bottom w:color="000000" w:space="0" w:sz="4" w:val="single"/>
            </w:tcBorders>
            <w:shd w:fill="ccffcc" w:val="clear"/>
            <w:vAlign w:val="center"/>
          </w:tcPr>
          <w:p w:rsidR="00000000" w:rsidDel="00000000" w:rsidP="00000000" w:rsidRDefault="00000000" w:rsidRPr="00000000" w14:paraId="0000008D">
            <w:pPr>
              <w:pageBreakBefore w:val="0"/>
              <w:jc w:val="center"/>
              <w:rPr>
                <w:rFonts w:ascii="Helvetica" w:cs="Helvetica" w:eastAsia="Helvetica" w:hAnsi="Helvetica"/>
                <w:sz w:val="22"/>
                <w:szCs w:val="22"/>
                <w:vertAlign w:val="baseline"/>
              </w:rPr>
            </w:pPr>
            <w:r w:rsidDel="00000000" w:rsidR="00000000" w:rsidRPr="00000000">
              <w:rPr>
                <w:rFonts w:ascii="Helvetica" w:cs="Helvetica" w:eastAsia="Helvetica" w:hAnsi="Helvetica"/>
                <w:sz w:val="22"/>
                <w:szCs w:val="22"/>
                <w:vertAlign w:val="baseline"/>
                <w:rtl w:val="0"/>
              </w:rPr>
              <w:t xml:space="preserve">6</w:t>
            </w:r>
          </w:p>
        </w:tc>
      </w:tr>
      <w:tr>
        <w:trPr>
          <w:cantSplit w:val="0"/>
          <w:trHeight w:val="375" w:hRule="atLeast"/>
          <w:tblHeader w:val="0"/>
        </w:trPr>
        <w:tc>
          <w:tcPr>
            <w:shd w:fill="ccffcc" w:val="clear"/>
            <w:vAlign w:val="center"/>
          </w:tcPr>
          <w:p w:rsidR="00000000" w:rsidDel="00000000" w:rsidP="00000000" w:rsidRDefault="00000000" w:rsidRPr="00000000" w14:paraId="0000008E">
            <w:pPr>
              <w:pageBreakBefore w:val="0"/>
              <w:rPr>
                <w:rFonts w:ascii="Helvetica" w:cs="Helvetica" w:eastAsia="Helvetica" w:hAnsi="Helvetica"/>
                <w:sz w:val="22"/>
                <w:szCs w:val="22"/>
                <w:vertAlign w:val="baseline"/>
              </w:rPr>
            </w:pPr>
            <w:r w:rsidDel="00000000" w:rsidR="00000000" w:rsidRPr="00000000">
              <w:rPr>
                <w:rFonts w:ascii="Helvetica" w:cs="Helvetica" w:eastAsia="Helvetica" w:hAnsi="Helvetica"/>
                <w:b w:val="1"/>
                <w:sz w:val="22"/>
                <w:szCs w:val="22"/>
                <w:vertAlign w:val="baseline"/>
                <w:rtl w:val="0"/>
              </w:rPr>
              <w:t xml:space="preserve">Total gross emissions</w:t>
            </w:r>
            <w:r w:rsidDel="00000000" w:rsidR="00000000" w:rsidRPr="00000000">
              <w:rPr>
                <w:rtl w:val="0"/>
              </w:rPr>
            </w:r>
          </w:p>
        </w:tc>
        <w:tc>
          <w:tcPr>
            <w:shd w:fill="ccffcc" w:val="clear"/>
            <w:vAlign w:val="center"/>
          </w:tcPr>
          <w:p w:rsidR="00000000" w:rsidDel="00000000" w:rsidP="00000000" w:rsidRDefault="00000000" w:rsidRPr="00000000" w14:paraId="0000008F">
            <w:pPr>
              <w:pageBreakBefore w:val="0"/>
              <w:jc w:val="center"/>
              <w:rPr>
                <w:rFonts w:ascii="Helvetica" w:cs="Helvetica" w:eastAsia="Helvetica" w:hAnsi="Helvetica"/>
                <w:sz w:val="22"/>
                <w:szCs w:val="22"/>
                <w:shd w:fill="ccffcc" w:val="clear"/>
              </w:rPr>
            </w:pPr>
            <w:r w:rsidDel="00000000" w:rsidR="00000000" w:rsidRPr="00000000">
              <w:rPr>
                <w:rFonts w:ascii="Helvetica" w:cs="Helvetica" w:eastAsia="Helvetica" w:hAnsi="Helvetica"/>
                <w:sz w:val="22"/>
                <w:szCs w:val="22"/>
                <w:shd w:fill="ccffcc" w:val="clear"/>
                <w:rtl w:val="0"/>
              </w:rPr>
              <w:t xml:space="preserve">7,444</w:t>
            </w:r>
          </w:p>
        </w:tc>
        <w:tc>
          <w:tcPr>
            <w:shd w:fill="ccffcc" w:val="clear"/>
            <w:vAlign w:val="center"/>
          </w:tcPr>
          <w:p w:rsidR="00000000" w:rsidDel="00000000" w:rsidP="00000000" w:rsidRDefault="00000000" w:rsidRPr="00000000" w14:paraId="00000090">
            <w:pPr>
              <w:pageBreakBefore w:val="0"/>
              <w:jc w:val="center"/>
              <w:rPr>
                <w:rFonts w:ascii="Helvetica" w:cs="Helvetica" w:eastAsia="Helvetica" w:hAnsi="Helvetica"/>
                <w:sz w:val="22"/>
                <w:szCs w:val="22"/>
                <w:vertAlign w:val="baseline"/>
              </w:rPr>
            </w:pPr>
            <w:r w:rsidDel="00000000" w:rsidR="00000000" w:rsidRPr="00000000">
              <w:rPr>
                <w:rFonts w:ascii="Helvetica" w:cs="Helvetica" w:eastAsia="Helvetica" w:hAnsi="Helvetica"/>
                <w:sz w:val="22"/>
                <w:szCs w:val="22"/>
                <w:rtl w:val="0"/>
              </w:rPr>
              <w:t xml:space="preserve">17,123</w:t>
            </w: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091">
            <w:pPr>
              <w:pageBreakBefore w:val="0"/>
              <w:rPr>
                <w:rFonts w:ascii="Helvetica" w:cs="Helvetica" w:eastAsia="Helvetica" w:hAnsi="Helvetica"/>
                <w:sz w:val="22"/>
                <w:szCs w:val="22"/>
                <w:vertAlign w:val="baseline"/>
              </w:rPr>
            </w:pPr>
            <w:r w:rsidDel="00000000" w:rsidR="00000000" w:rsidRPr="00000000">
              <w:rPr>
                <w:rFonts w:ascii="Helvetica" w:cs="Helvetica" w:eastAsia="Helvetica" w:hAnsi="Helvetica"/>
                <w:sz w:val="22"/>
                <w:szCs w:val="22"/>
                <w:vertAlign w:val="baseline"/>
                <w:rtl w:val="0"/>
              </w:rPr>
              <w:t xml:space="preserve">Intensity measurement Scopes 1 &amp; 2 ‘Kilograms of CO</w:t>
            </w:r>
            <w:r w:rsidDel="00000000" w:rsidR="00000000" w:rsidRPr="00000000">
              <w:rPr>
                <w:rFonts w:ascii="Helvetica" w:cs="Helvetica" w:eastAsia="Helvetica" w:hAnsi="Helvetica"/>
                <w:sz w:val="22"/>
                <w:szCs w:val="22"/>
                <w:vertAlign w:val="subscript"/>
                <w:rtl w:val="0"/>
              </w:rPr>
              <w:t xml:space="preserve">2</w:t>
            </w:r>
            <w:r w:rsidDel="00000000" w:rsidR="00000000" w:rsidRPr="00000000">
              <w:rPr>
                <w:rFonts w:ascii="Helvetica" w:cs="Helvetica" w:eastAsia="Helvetica" w:hAnsi="Helvetica"/>
                <w:sz w:val="22"/>
                <w:szCs w:val="22"/>
                <w:vertAlign w:val="baseline"/>
                <w:rtl w:val="0"/>
              </w:rPr>
              <w:t xml:space="preserve">e per sq m of GIA</w:t>
            </w:r>
          </w:p>
        </w:tc>
        <w:tc>
          <w:tcPr>
            <w:shd w:fill="ffffff" w:val="clear"/>
            <w:vAlign w:val="center"/>
          </w:tcPr>
          <w:p w:rsidR="00000000" w:rsidDel="00000000" w:rsidP="00000000" w:rsidRDefault="00000000" w:rsidRPr="00000000" w14:paraId="00000092">
            <w:pPr>
              <w:pageBreakBefore w:val="0"/>
              <w:jc w:val="center"/>
              <w:rPr>
                <w:rFonts w:ascii="Helvetica" w:cs="Helvetica" w:eastAsia="Helvetica" w:hAnsi="Helvetica"/>
                <w:sz w:val="22"/>
                <w:szCs w:val="22"/>
                <w:highlight w:val="white"/>
                <w:vertAlign w:val="baseline"/>
              </w:rPr>
            </w:pPr>
            <w:r w:rsidDel="00000000" w:rsidR="00000000" w:rsidRPr="00000000">
              <w:rPr>
                <w:rFonts w:ascii="Helvetica" w:cs="Helvetica" w:eastAsia="Helvetica" w:hAnsi="Helvetica"/>
                <w:sz w:val="22"/>
                <w:szCs w:val="22"/>
                <w:highlight w:val="white"/>
                <w:rtl w:val="0"/>
              </w:rPr>
              <w:t xml:space="preserve">30.75</w:t>
            </w:r>
            <w:r w:rsidDel="00000000" w:rsidR="00000000" w:rsidRPr="00000000">
              <w:rPr>
                <w:rtl w:val="0"/>
              </w:rPr>
            </w:r>
          </w:p>
        </w:tc>
        <w:tc>
          <w:tcPr>
            <w:shd w:fill="ccffcc" w:val="clear"/>
            <w:vAlign w:val="center"/>
          </w:tcPr>
          <w:p w:rsidR="00000000" w:rsidDel="00000000" w:rsidP="00000000" w:rsidRDefault="00000000" w:rsidRPr="00000000" w14:paraId="00000093">
            <w:pPr>
              <w:pageBreakBefore w:val="0"/>
              <w:jc w:val="center"/>
              <w:rPr>
                <w:rFonts w:ascii="Helvetica" w:cs="Helvetica" w:eastAsia="Helvetica" w:hAnsi="Helvetica"/>
                <w:sz w:val="22"/>
                <w:szCs w:val="22"/>
                <w:vertAlign w:val="baseline"/>
              </w:rPr>
            </w:pPr>
            <w:r w:rsidDel="00000000" w:rsidR="00000000" w:rsidRPr="00000000">
              <w:rPr>
                <w:rFonts w:ascii="Helvetica" w:cs="Helvetica" w:eastAsia="Helvetica" w:hAnsi="Helvetica"/>
                <w:sz w:val="22"/>
                <w:szCs w:val="22"/>
                <w:rtl w:val="0"/>
              </w:rPr>
              <w:t xml:space="preserve">70.95</w:t>
            </w:r>
            <w:r w:rsidDel="00000000" w:rsidR="00000000" w:rsidRPr="00000000">
              <w:rPr>
                <w:rtl w:val="0"/>
              </w:rPr>
            </w:r>
          </w:p>
        </w:tc>
      </w:tr>
    </w:tbl>
    <w:p w:rsidR="00000000" w:rsidDel="00000000" w:rsidP="00000000" w:rsidRDefault="00000000" w:rsidRPr="00000000" w14:paraId="00000094">
      <w:pPr>
        <w:pageBreakBefore w:val="0"/>
        <w:spacing w:line="276" w:lineRule="auto"/>
        <w:ind w:left="720" w:firstLine="0"/>
        <w:rPr>
          <w:rFonts w:ascii="Helvetica" w:cs="Helvetica" w:eastAsia="Helvetica" w:hAnsi="Helvetica"/>
          <w:b w:val="1"/>
          <w:sz w:val="20"/>
          <w:szCs w:val="20"/>
        </w:rPr>
      </w:pPr>
      <w:r w:rsidDel="00000000" w:rsidR="00000000" w:rsidRPr="00000000">
        <w:rPr>
          <w:rtl w:val="0"/>
        </w:rPr>
      </w:r>
    </w:p>
    <w:p w:rsidR="00000000" w:rsidDel="00000000" w:rsidP="00000000" w:rsidRDefault="00000000" w:rsidRPr="00000000" w14:paraId="00000095">
      <w:pPr>
        <w:pageBreakBefore w:val="0"/>
        <w:spacing w:line="276" w:lineRule="auto"/>
        <w:ind w:left="720" w:firstLine="0"/>
        <w:rPr>
          <w:rFonts w:ascii="Helvetica" w:cs="Helvetica" w:eastAsia="Helvetica" w:hAnsi="Helvetica"/>
          <w:b w:val="1"/>
          <w:sz w:val="20"/>
          <w:szCs w:val="20"/>
        </w:rPr>
      </w:pPr>
      <w:r w:rsidDel="00000000" w:rsidR="00000000" w:rsidRPr="00000000">
        <w:rPr>
          <w:rtl w:val="0"/>
        </w:rPr>
      </w:r>
    </w:p>
    <w:p w:rsidR="00000000" w:rsidDel="00000000" w:rsidP="00000000" w:rsidRDefault="00000000" w:rsidRPr="00000000" w14:paraId="00000096">
      <w:pPr>
        <w:pageBreakBefore w:val="0"/>
        <w:spacing w:line="276" w:lineRule="auto"/>
        <w:ind w:left="720" w:firstLine="0"/>
        <w:rPr>
          <w:rFonts w:ascii="Helvetica" w:cs="Helvetica" w:eastAsia="Helvetica" w:hAnsi="Helvetica"/>
          <w:b w:val="1"/>
          <w:sz w:val="20"/>
          <w:szCs w:val="20"/>
        </w:rPr>
      </w:pPr>
      <w:r w:rsidDel="00000000" w:rsidR="00000000" w:rsidRPr="00000000">
        <w:rPr>
          <w:rtl w:val="0"/>
        </w:rPr>
      </w:r>
    </w:p>
    <w:p w:rsidR="00000000" w:rsidDel="00000000" w:rsidP="00000000" w:rsidRDefault="00000000" w:rsidRPr="00000000" w14:paraId="00000097">
      <w:pPr>
        <w:pageBreakBefore w:val="0"/>
        <w:spacing w:line="360" w:lineRule="auto"/>
        <w:ind w:left="0" w:firstLine="0"/>
        <w:rPr>
          <w:rFonts w:ascii="Helvetica" w:cs="Helvetica" w:eastAsia="Helvetica" w:hAnsi="Helvetica"/>
          <w:sz w:val="20"/>
          <w:szCs w:val="20"/>
        </w:rPr>
      </w:pPr>
      <w:r w:rsidDel="00000000" w:rsidR="00000000" w:rsidRPr="00000000">
        <w:rPr>
          <w:rFonts w:ascii="Helvetica" w:cs="Helvetica" w:eastAsia="Helvetica" w:hAnsi="Helvetica"/>
          <w:b w:val="1"/>
          <w:sz w:val="20"/>
          <w:szCs w:val="20"/>
          <w:rtl w:val="0"/>
        </w:rPr>
        <w:t xml:space="preserve">Table 3: GHG emissions by source activity for the year 2023 (1 April 2023 to 31 March 2024)</w:t>
      </w:r>
      <w:r w:rsidDel="00000000" w:rsidR="00000000" w:rsidRPr="00000000">
        <w:rPr>
          <w:rtl w:val="0"/>
        </w:rPr>
      </w:r>
    </w:p>
    <w:tbl>
      <w:tblPr>
        <w:tblStyle w:val="Table3"/>
        <w:tblW w:w="8625.0" w:type="dxa"/>
        <w:jc w:val="left"/>
        <w:tblInd w:w="-1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30"/>
        <w:gridCol w:w="900"/>
        <w:gridCol w:w="1245"/>
        <w:gridCol w:w="1680"/>
        <w:gridCol w:w="1770"/>
        <w:tblGridChange w:id="0">
          <w:tblGrid>
            <w:gridCol w:w="3030"/>
            <w:gridCol w:w="900"/>
            <w:gridCol w:w="1245"/>
            <w:gridCol w:w="1680"/>
            <w:gridCol w:w="177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98">
            <w:pPr>
              <w:pageBreakBefore w:val="0"/>
              <w:widowControl w:val="0"/>
              <w:spacing w:line="276" w:lineRule="auto"/>
              <w:jc w:val="center"/>
              <w:rPr>
                <w:rFonts w:ascii="Arial" w:cs="Arial" w:eastAsia="Arial" w:hAnsi="Arial"/>
                <w:sz w:val="22"/>
                <w:szCs w:val="22"/>
              </w:rPr>
            </w:pPr>
            <w:r w:rsidDel="00000000" w:rsidR="00000000" w:rsidRPr="00000000">
              <w:rPr>
                <w:rFonts w:ascii="Helvetica" w:cs="Helvetica" w:eastAsia="Helvetica" w:hAnsi="Helvetica"/>
                <w:b w:val="1"/>
                <w:sz w:val="22"/>
                <w:szCs w:val="22"/>
                <w:rtl w:val="0"/>
              </w:rPr>
              <w:t xml:space="preserve">Scope/Activity</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99">
            <w:pPr>
              <w:pageBreakBefore w:val="0"/>
              <w:widowControl w:val="0"/>
              <w:spacing w:line="276" w:lineRule="auto"/>
              <w:jc w:val="center"/>
              <w:rPr>
                <w:rFonts w:ascii="Arial" w:cs="Arial" w:eastAsia="Arial" w:hAnsi="Arial"/>
                <w:sz w:val="22"/>
                <w:szCs w:val="22"/>
              </w:rPr>
            </w:pPr>
            <w:r w:rsidDel="00000000" w:rsidR="00000000" w:rsidRPr="00000000">
              <w:rPr>
                <w:rFonts w:ascii="Helvetica" w:cs="Helvetica" w:eastAsia="Helvetica" w:hAnsi="Helvetica"/>
                <w:b w:val="1"/>
                <w:sz w:val="22"/>
                <w:szCs w:val="22"/>
                <w:rtl w:val="0"/>
              </w:rPr>
              <w:t xml:space="preserve">Units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9A">
            <w:pPr>
              <w:pageBreakBefore w:val="0"/>
              <w:widowControl w:val="0"/>
              <w:spacing w:line="276" w:lineRule="auto"/>
              <w:jc w:val="center"/>
              <w:rPr>
                <w:rFonts w:ascii="Arial" w:cs="Arial" w:eastAsia="Arial" w:hAnsi="Arial"/>
                <w:sz w:val="22"/>
                <w:szCs w:val="22"/>
              </w:rPr>
            </w:pPr>
            <w:r w:rsidDel="00000000" w:rsidR="00000000" w:rsidRPr="00000000">
              <w:rPr>
                <w:rFonts w:ascii="Helvetica" w:cs="Helvetica" w:eastAsia="Helvetica" w:hAnsi="Helvetica"/>
                <w:b w:val="1"/>
                <w:sz w:val="22"/>
                <w:szCs w:val="22"/>
                <w:rtl w:val="0"/>
              </w:rPr>
              <w:t xml:space="preserve">% of data that is estimated</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9B">
            <w:pPr>
              <w:pageBreakBefore w:val="0"/>
              <w:widowControl w:val="0"/>
              <w:spacing w:line="276" w:lineRule="auto"/>
              <w:jc w:val="center"/>
              <w:rPr>
                <w:rFonts w:ascii="Arial" w:cs="Arial" w:eastAsia="Arial" w:hAnsi="Arial"/>
                <w:sz w:val="22"/>
                <w:szCs w:val="22"/>
              </w:rPr>
            </w:pPr>
            <w:r w:rsidDel="00000000" w:rsidR="00000000" w:rsidRPr="00000000">
              <w:rPr>
                <w:rFonts w:ascii="Helvetica" w:cs="Helvetica" w:eastAsia="Helvetica" w:hAnsi="Helvetica"/>
                <w:b w:val="1"/>
                <w:sz w:val="22"/>
                <w:szCs w:val="22"/>
                <w:rtl w:val="0"/>
              </w:rPr>
              <w:t xml:space="preserve">Consumption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9C">
            <w:pPr>
              <w:pageBreakBefore w:val="0"/>
              <w:widowControl w:val="0"/>
              <w:spacing w:line="276" w:lineRule="auto"/>
              <w:jc w:val="center"/>
              <w:rPr>
                <w:rFonts w:ascii="Arial" w:cs="Arial" w:eastAsia="Arial" w:hAnsi="Arial"/>
                <w:sz w:val="22"/>
                <w:szCs w:val="22"/>
              </w:rPr>
            </w:pPr>
            <w:r w:rsidDel="00000000" w:rsidR="00000000" w:rsidRPr="00000000">
              <w:rPr>
                <w:rFonts w:ascii="Helvetica" w:cs="Helvetica" w:eastAsia="Helvetica" w:hAnsi="Helvetica"/>
                <w:b w:val="1"/>
                <w:sz w:val="22"/>
                <w:szCs w:val="22"/>
                <w:rtl w:val="0"/>
              </w:rPr>
              <w:t xml:space="preserve">GHG Emissions (tonnes CO</w:t>
            </w:r>
            <w:r w:rsidDel="00000000" w:rsidR="00000000" w:rsidRPr="00000000">
              <w:rPr>
                <w:rFonts w:ascii="Helvetica" w:cs="Helvetica" w:eastAsia="Helvetica" w:hAnsi="Helvetica"/>
                <w:b w:val="1"/>
                <w:sz w:val="22"/>
                <w:szCs w:val="22"/>
                <w:vertAlign w:val="subscript"/>
                <w:rtl w:val="0"/>
              </w:rPr>
              <w:t xml:space="preserve">2</w:t>
            </w:r>
            <w:r w:rsidDel="00000000" w:rsidR="00000000" w:rsidRPr="00000000">
              <w:rPr>
                <w:rFonts w:ascii="Helvetica" w:cs="Helvetica" w:eastAsia="Helvetica" w:hAnsi="Helvetica"/>
                <w:b w:val="1"/>
                <w:sz w:val="22"/>
                <w:szCs w:val="22"/>
                <w:rtl w:val="0"/>
              </w:rPr>
              <w:t xml:space="preserve">e)</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9D">
            <w:pPr>
              <w:pageBreakBefore w:val="0"/>
              <w:widowControl w:val="0"/>
              <w:spacing w:line="276" w:lineRule="auto"/>
              <w:jc w:val="center"/>
              <w:rPr>
                <w:rFonts w:ascii="Arial" w:cs="Arial" w:eastAsia="Arial" w:hAnsi="Arial"/>
                <w:sz w:val="22"/>
                <w:szCs w:val="22"/>
              </w:rPr>
            </w:pPr>
            <w:r w:rsidDel="00000000" w:rsidR="00000000" w:rsidRPr="00000000">
              <w:rPr>
                <w:rFonts w:ascii="Helvetica" w:cs="Helvetica" w:eastAsia="Helvetica" w:hAnsi="Helvetica"/>
                <w:b w:val="1"/>
                <w:sz w:val="22"/>
                <w:szCs w:val="22"/>
                <w:rtl w:val="0"/>
              </w:rPr>
              <w:t xml:space="preserve">Scope 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9E">
            <w:pPr>
              <w:pageBreakBefore w:val="0"/>
              <w:widowControl w:val="0"/>
              <w:spacing w:line="276" w:lineRule="auto"/>
              <w:rPr>
                <w:rFonts w:ascii="Arial" w:cs="Arial" w:eastAsia="Arial" w:hAnsi="Arial"/>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9F">
            <w:pPr>
              <w:pageBreakBefore w:val="0"/>
              <w:widowControl w:val="0"/>
              <w:spacing w:line="276" w:lineRule="auto"/>
              <w:rPr>
                <w:rFonts w:ascii="Arial" w:cs="Arial" w:eastAsia="Arial" w:hAnsi="Arial"/>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A0">
            <w:pPr>
              <w:pageBreakBefore w:val="0"/>
              <w:widowControl w:val="0"/>
              <w:spacing w:line="276" w:lineRule="auto"/>
              <w:rPr>
                <w:rFonts w:ascii="Arial" w:cs="Arial" w:eastAsia="Arial" w:hAnsi="Arial"/>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A1">
            <w:pPr>
              <w:pageBreakBefore w:val="0"/>
              <w:widowControl w:val="0"/>
              <w:spacing w:line="276" w:lineRule="auto"/>
              <w:rPr>
                <w:rFonts w:ascii="Arial" w:cs="Arial" w:eastAsia="Arial" w:hAnsi="Arial"/>
                <w:sz w:val="22"/>
                <w:szCs w:val="22"/>
              </w:rPr>
            </w:pP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A2">
            <w:pPr>
              <w:pageBreakBefore w:val="0"/>
              <w:widowControl w:val="0"/>
              <w:spacing w:line="276" w:lineRule="auto"/>
              <w:rPr>
                <w:rFonts w:ascii="Arial" w:cs="Arial" w:eastAsia="Arial" w:hAnsi="Arial"/>
                <w:sz w:val="22"/>
                <w:szCs w:val="22"/>
              </w:rPr>
            </w:pPr>
            <w:r w:rsidDel="00000000" w:rsidR="00000000" w:rsidRPr="00000000">
              <w:rPr>
                <w:rFonts w:ascii="Helvetica" w:cs="Helvetica" w:eastAsia="Helvetica" w:hAnsi="Helvetica"/>
                <w:sz w:val="22"/>
                <w:szCs w:val="22"/>
                <w:rtl w:val="0"/>
              </w:rPr>
              <w:t xml:space="preserve">Gas Boilers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A3">
            <w:pPr>
              <w:pageBreakBefore w:val="0"/>
              <w:widowControl w:val="0"/>
              <w:spacing w:line="276" w:lineRule="auto"/>
              <w:jc w:val="center"/>
              <w:rPr>
                <w:rFonts w:ascii="Arial" w:cs="Arial" w:eastAsia="Arial" w:hAnsi="Arial"/>
                <w:sz w:val="22"/>
                <w:szCs w:val="22"/>
              </w:rPr>
            </w:pPr>
            <w:r w:rsidDel="00000000" w:rsidR="00000000" w:rsidRPr="00000000">
              <w:rPr>
                <w:rFonts w:ascii="Helvetica" w:cs="Helvetica" w:eastAsia="Helvetica" w:hAnsi="Helvetica"/>
                <w:sz w:val="22"/>
                <w:szCs w:val="22"/>
                <w:rtl w:val="0"/>
              </w:rPr>
              <w:t xml:space="preserve">kwh</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A4">
            <w:pPr>
              <w:pageBreakBefore w:val="0"/>
              <w:widowControl w:val="0"/>
              <w:spacing w:line="276" w:lineRule="auto"/>
              <w:jc w:val="center"/>
              <w:rPr>
                <w:rFonts w:ascii="Arial" w:cs="Arial" w:eastAsia="Arial" w:hAnsi="Arial"/>
                <w:sz w:val="22"/>
                <w:szCs w:val="22"/>
              </w:rPr>
            </w:pPr>
            <w:r w:rsidDel="00000000" w:rsidR="00000000" w:rsidRPr="00000000">
              <w:rPr>
                <w:rFonts w:ascii="Helvetica" w:cs="Helvetica" w:eastAsia="Helvetica" w:hAnsi="Helvetica"/>
                <w:sz w:val="22"/>
                <w:szCs w:val="22"/>
                <w:rtl w:val="0"/>
              </w:rPr>
              <w:t xml:space="preserve">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A5">
            <w:pPr>
              <w:pageBreakBefore w:val="0"/>
              <w:widowControl w:val="0"/>
              <w:spacing w:line="276" w:lineRule="auto"/>
              <w:jc w:val="center"/>
              <w:rPr>
                <w:rFonts w:ascii="Arial" w:cs="Arial" w:eastAsia="Arial" w:hAnsi="Arial"/>
                <w:sz w:val="22"/>
                <w:szCs w:val="22"/>
              </w:rPr>
            </w:pPr>
            <w:r w:rsidDel="00000000" w:rsidR="00000000" w:rsidRPr="00000000">
              <w:rPr>
                <w:rFonts w:ascii="Helvetica" w:cs="Helvetica" w:eastAsia="Helvetica" w:hAnsi="Helvetica"/>
                <w:sz w:val="22"/>
                <w:szCs w:val="22"/>
                <w:rtl w:val="0"/>
              </w:rPr>
              <w:t xml:space="preserve">15,934,322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A6">
            <w:pPr>
              <w:pageBreakBefore w:val="0"/>
              <w:widowControl w:val="0"/>
              <w:spacing w:line="276" w:lineRule="auto"/>
              <w:jc w:val="center"/>
              <w:rPr>
                <w:rFonts w:ascii="Arial" w:cs="Arial" w:eastAsia="Arial" w:hAnsi="Arial"/>
                <w:sz w:val="22"/>
                <w:szCs w:val="22"/>
              </w:rPr>
            </w:pPr>
            <w:r w:rsidDel="00000000" w:rsidR="00000000" w:rsidRPr="00000000">
              <w:rPr>
                <w:rFonts w:ascii="Helvetica" w:cs="Helvetica" w:eastAsia="Helvetica" w:hAnsi="Helvetica"/>
                <w:sz w:val="22"/>
                <w:szCs w:val="22"/>
                <w:rtl w:val="0"/>
              </w:rPr>
              <w:t xml:space="preserve">2,914,848</w:t>
            </w: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A7">
            <w:pPr>
              <w:pageBreakBefore w:val="0"/>
              <w:widowControl w:val="0"/>
              <w:spacing w:line="276" w:lineRule="auto"/>
              <w:rPr>
                <w:rFonts w:ascii="Arial" w:cs="Arial" w:eastAsia="Arial" w:hAnsi="Arial"/>
                <w:sz w:val="22"/>
                <w:szCs w:val="22"/>
              </w:rPr>
            </w:pPr>
            <w:r w:rsidDel="00000000" w:rsidR="00000000" w:rsidRPr="00000000">
              <w:rPr>
                <w:rFonts w:ascii="Helvetica" w:cs="Helvetica" w:eastAsia="Helvetica" w:hAnsi="Helvetica"/>
                <w:sz w:val="22"/>
                <w:szCs w:val="22"/>
                <w:rtl w:val="0"/>
              </w:rPr>
              <w:t xml:space="preserve">Diesel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A8">
            <w:pPr>
              <w:pageBreakBefore w:val="0"/>
              <w:widowControl w:val="0"/>
              <w:spacing w:line="276" w:lineRule="auto"/>
              <w:jc w:val="center"/>
              <w:rPr>
                <w:rFonts w:ascii="Arial" w:cs="Arial" w:eastAsia="Arial" w:hAnsi="Arial"/>
                <w:sz w:val="22"/>
                <w:szCs w:val="22"/>
              </w:rPr>
            </w:pPr>
            <w:r w:rsidDel="00000000" w:rsidR="00000000" w:rsidRPr="00000000">
              <w:rPr>
                <w:rFonts w:ascii="Helvetica" w:cs="Helvetica" w:eastAsia="Helvetica" w:hAnsi="Helvetica"/>
                <w:sz w:val="22"/>
                <w:szCs w:val="22"/>
                <w:rtl w:val="0"/>
              </w:rPr>
              <w:t xml:space="preserve">litres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A9">
            <w:pPr>
              <w:pageBreakBefore w:val="0"/>
              <w:widowControl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AA">
            <w:pPr>
              <w:pageBreakBefore w:val="0"/>
              <w:widowControl w:val="0"/>
              <w:spacing w:line="276" w:lineRule="auto"/>
              <w:jc w:val="center"/>
              <w:rPr>
                <w:rFonts w:ascii="Arial" w:cs="Arial" w:eastAsia="Arial" w:hAnsi="Arial"/>
                <w:sz w:val="22"/>
                <w:szCs w:val="22"/>
              </w:rPr>
            </w:pPr>
            <w:r w:rsidDel="00000000" w:rsidR="00000000" w:rsidRPr="00000000">
              <w:rPr>
                <w:rFonts w:ascii="Helvetica" w:cs="Helvetica" w:eastAsia="Helvetica" w:hAnsi="Helvetica"/>
                <w:sz w:val="22"/>
                <w:szCs w:val="22"/>
                <w:rtl w:val="0"/>
              </w:rPr>
              <w:t xml:space="preserve">13,891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AB">
            <w:pPr>
              <w:pageBreakBefore w:val="0"/>
              <w:widowControl w:val="0"/>
              <w:spacing w:line="276" w:lineRule="auto"/>
              <w:jc w:val="center"/>
              <w:rPr>
                <w:rFonts w:ascii="Arial" w:cs="Arial" w:eastAsia="Arial" w:hAnsi="Arial"/>
                <w:sz w:val="22"/>
                <w:szCs w:val="22"/>
              </w:rPr>
            </w:pPr>
            <w:r w:rsidDel="00000000" w:rsidR="00000000" w:rsidRPr="00000000">
              <w:rPr>
                <w:rFonts w:ascii="Helvetica" w:cs="Helvetica" w:eastAsia="Helvetica" w:hAnsi="Helvetica"/>
                <w:sz w:val="22"/>
                <w:szCs w:val="22"/>
                <w:rtl w:val="0"/>
              </w:rPr>
              <w:t xml:space="preserve">34,895</w:t>
            </w: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AC">
            <w:pPr>
              <w:pageBreakBefore w:val="0"/>
              <w:widowControl w:val="0"/>
              <w:spacing w:line="276" w:lineRule="auto"/>
              <w:rPr>
                <w:rFonts w:ascii="Arial" w:cs="Arial" w:eastAsia="Arial" w:hAnsi="Arial"/>
                <w:sz w:val="22"/>
                <w:szCs w:val="22"/>
              </w:rPr>
            </w:pPr>
            <w:r w:rsidDel="00000000" w:rsidR="00000000" w:rsidRPr="00000000">
              <w:rPr>
                <w:rFonts w:ascii="Helvetica" w:cs="Helvetica" w:eastAsia="Helvetica" w:hAnsi="Helvetica"/>
                <w:sz w:val="22"/>
                <w:szCs w:val="22"/>
                <w:rtl w:val="0"/>
              </w:rPr>
              <w:t xml:space="preserve">Petrol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AD">
            <w:pPr>
              <w:pageBreakBefore w:val="0"/>
              <w:widowControl w:val="0"/>
              <w:spacing w:line="276" w:lineRule="auto"/>
              <w:jc w:val="center"/>
              <w:rPr>
                <w:rFonts w:ascii="Arial" w:cs="Arial" w:eastAsia="Arial" w:hAnsi="Arial"/>
                <w:sz w:val="22"/>
                <w:szCs w:val="22"/>
              </w:rPr>
            </w:pPr>
            <w:r w:rsidDel="00000000" w:rsidR="00000000" w:rsidRPr="00000000">
              <w:rPr>
                <w:rFonts w:ascii="Helvetica" w:cs="Helvetica" w:eastAsia="Helvetica" w:hAnsi="Helvetica"/>
                <w:sz w:val="22"/>
                <w:szCs w:val="22"/>
                <w:rtl w:val="0"/>
              </w:rPr>
              <w:t xml:space="preserve">litres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AE">
            <w:pPr>
              <w:pageBreakBefore w:val="0"/>
              <w:widowControl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AF">
            <w:pPr>
              <w:pageBreakBefore w:val="0"/>
              <w:widowControl w:val="0"/>
              <w:spacing w:line="276" w:lineRule="auto"/>
              <w:jc w:val="center"/>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B0">
            <w:pPr>
              <w:pageBreakBefore w:val="0"/>
              <w:widowControl w:val="0"/>
              <w:spacing w:line="276" w:lineRule="auto"/>
              <w:jc w:val="center"/>
              <w:rPr>
                <w:rFonts w:ascii="Arial" w:cs="Arial" w:eastAsia="Arial" w:hAnsi="Arial"/>
                <w:sz w:val="22"/>
                <w:szCs w:val="22"/>
              </w:rPr>
            </w:pPr>
            <w:r w:rsidDel="00000000" w:rsidR="00000000" w:rsidRPr="00000000">
              <w:rPr>
                <w:rFonts w:ascii="Helvetica" w:cs="Helvetica" w:eastAsia="Helvetica" w:hAnsi="Helvetica"/>
                <w:sz w:val="22"/>
                <w:szCs w:val="22"/>
                <w:rtl w:val="0"/>
              </w:rPr>
              <w:t xml:space="preserve">0</w:t>
            </w:r>
            <w:r w:rsidDel="00000000" w:rsidR="00000000" w:rsidRPr="00000000">
              <w:rPr>
                <w:rtl w:val="0"/>
              </w:rPr>
            </w:r>
          </w:p>
        </w:tc>
      </w:tr>
      <w:tr>
        <w:trPr>
          <w:cantSplit w:val="0"/>
          <w:trHeight w:val="2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B1">
            <w:pPr>
              <w:pageBreakBefore w:val="0"/>
              <w:widowControl w:val="0"/>
              <w:spacing w:line="276" w:lineRule="auto"/>
              <w:jc w:val="center"/>
              <w:rPr>
                <w:rFonts w:ascii="Arial" w:cs="Arial" w:eastAsia="Arial" w:hAnsi="Arial"/>
                <w:sz w:val="22"/>
                <w:szCs w:val="22"/>
              </w:rPr>
            </w:pPr>
            <w:r w:rsidDel="00000000" w:rsidR="00000000" w:rsidRPr="00000000">
              <w:rPr>
                <w:rFonts w:ascii="Helvetica" w:cs="Helvetica" w:eastAsia="Helvetica" w:hAnsi="Helvetica"/>
                <w:b w:val="1"/>
                <w:sz w:val="22"/>
                <w:szCs w:val="22"/>
                <w:rtl w:val="0"/>
              </w:rPr>
              <w:t xml:space="preserve">Scope 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B2">
            <w:pPr>
              <w:pageBreakBefore w:val="0"/>
              <w:widowControl w:val="0"/>
              <w:spacing w:line="276" w:lineRule="auto"/>
              <w:rPr>
                <w:rFonts w:ascii="Arial" w:cs="Arial" w:eastAsia="Arial" w:hAnsi="Arial"/>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B3">
            <w:pPr>
              <w:pageBreakBefore w:val="0"/>
              <w:widowControl w:val="0"/>
              <w:spacing w:line="276" w:lineRule="auto"/>
              <w:rPr>
                <w:rFonts w:ascii="Arial" w:cs="Arial" w:eastAsia="Arial" w:hAnsi="Arial"/>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B4">
            <w:pPr>
              <w:pageBreakBefore w:val="0"/>
              <w:widowControl w:val="0"/>
              <w:spacing w:line="276" w:lineRule="auto"/>
              <w:rPr>
                <w:rFonts w:ascii="Arial" w:cs="Arial" w:eastAsia="Arial" w:hAnsi="Arial"/>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B5">
            <w:pPr>
              <w:pageBreakBefore w:val="0"/>
              <w:widowControl w:val="0"/>
              <w:spacing w:line="276" w:lineRule="auto"/>
              <w:rPr>
                <w:rFonts w:ascii="Arial" w:cs="Arial" w:eastAsia="Arial" w:hAnsi="Arial"/>
                <w:sz w:val="22"/>
                <w:szCs w:val="22"/>
              </w:rPr>
            </w:pPr>
            <w:r w:rsidDel="00000000" w:rsidR="00000000" w:rsidRPr="00000000">
              <w:rPr>
                <w:rtl w:val="0"/>
              </w:rPr>
            </w:r>
          </w:p>
        </w:tc>
      </w:tr>
      <w:tr>
        <w:trPr>
          <w:cantSplit w:val="0"/>
          <w:trHeight w:val="42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B6">
            <w:pPr>
              <w:pageBreakBefore w:val="0"/>
              <w:widowControl w:val="0"/>
              <w:spacing w:line="276" w:lineRule="auto"/>
              <w:rPr>
                <w:rFonts w:ascii="Arial" w:cs="Arial" w:eastAsia="Arial" w:hAnsi="Arial"/>
                <w:sz w:val="22"/>
                <w:szCs w:val="22"/>
              </w:rPr>
            </w:pPr>
            <w:r w:rsidDel="00000000" w:rsidR="00000000" w:rsidRPr="00000000">
              <w:rPr>
                <w:rFonts w:ascii="Helvetica" w:cs="Helvetica" w:eastAsia="Helvetica" w:hAnsi="Helvetica"/>
                <w:sz w:val="22"/>
                <w:szCs w:val="22"/>
                <w:rtl w:val="0"/>
              </w:rPr>
              <w:t xml:space="preserve">Electricity - Premises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B7">
            <w:pPr>
              <w:pageBreakBefore w:val="0"/>
              <w:widowControl w:val="0"/>
              <w:spacing w:line="276" w:lineRule="auto"/>
              <w:jc w:val="center"/>
              <w:rPr>
                <w:rFonts w:ascii="Arial" w:cs="Arial" w:eastAsia="Arial" w:hAnsi="Arial"/>
                <w:sz w:val="22"/>
                <w:szCs w:val="22"/>
              </w:rPr>
            </w:pPr>
            <w:r w:rsidDel="00000000" w:rsidR="00000000" w:rsidRPr="00000000">
              <w:rPr>
                <w:rFonts w:ascii="Helvetica" w:cs="Helvetica" w:eastAsia="Helvetica" w:hAnsi="Helvetica"/>
                <w:sz w:val="22"/>
                <w:szCs w:val="22"/>
                <w:rtl w:val="0"/>
              </w:rPr>
              <w:t xml:space="preserve">kwh</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B8">
            <w:pPr>
              <w:pageBreakBefore w:val="0"/>
              <w:widowControl w:val="0"/>
              <w:spacing w:line="276" w:lineRule="auto"/>
              <w:jc w:val="center"/>
              <w:rPr>
                <w:rFonts w:ascii="Arial" w:cs="Arial" w:eastAsia="Arial" w:hAnsi="Arial"/>
                <w:sz w:val="22"/>
                <w:szCs w:val="22"/>
              </w:rPr>
            </w:pPr>
            <w:r w:rsidDel="00000000" w:rsidR="00000000" w:rsidRPr="00000000">
              <w:rPr>
                <w:rFonts w:ascii="Helvetica" w:cs="Helvetica" w:eastAsia="Helvetica" w:hAnsi="Helvetica"/>
                <w:sz w:val="22"/>
                <w:szCs w:val="22"/>
                <w:rtl w:val="0"/>
              </w:rPr>
              <w:t xml:space="preserve">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B9">
            <w:pPr>
              <w:pageBreakBefore w:val="0"/>
              <w:widowControl w:val="0"/>
              <w:spacing w:line="276" w:lineRule="auto"/>
              <w:jc w:val="center"/>
              <w:rPr>
                <w:rFonts w:ascii="Arial" w:cs="Arial" w:eastAsia="Arial" w:hAnsi="Arial"/>
                <w:sz w:val="22"/>
                <w:szCs w:val="22"/>
              </w:rPr>
            </w:pPr>
            <w:r w:rsidDel="00000000" w:rsidR="00000000" w:rsidRPr="00000000">
              <w:rPr>
                <w:rFonts w:ascii="Helvetica" w:cs="Helvetica" w:eastAsia="Helvetica" w:hAnsi="Helvetica"/>
                <w:sz w:val="22"/>
                <w:szCs w:val="22"/>
                <w:rtl w:val="0"/>
              </w:rPr>
              <w:t xml:space="preserve">10,725,824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BA">
            <w:pPr>
              <w:pageBreakBefore w:val="0"/>
              <w:widowControl w:val="0"/>
              <w:spacing w:line="276" w:lineRule="auto"/>
              <w:jc w:val="center"/>
              <w:rPr>
                <w:rFonts w:ascii="Arial" w:cs="Arial" w:eastAsia="Arial" w:hAnsi="Arial"/>
                <w:sz w:val="22"/>
                <w:szCs w:val="22"/>
              </w:rPr>
            </w:pPr>
            <w:r w:rsidDel="00000000" w:rsidR="00000000" w:rsidRPr="00000000">
              <w:rPr>
                <w:rFonts w:ascii="Helvetica" w:cs="Helvetica" w:eastAsia="Helvetica" w:hAnsi="Helvetica"/>
                <w:sz w:val="22"/>
                <w:szCs w:val="22"/>
                <w:rtl w:val="0"/>
              </w:rPr>
              <w:t xml:space="preserve">2,221,042</w:t>
            </w:r>
            <w:r w:rsidDel="00000000" w:rsidR="00000000" w:rsidRPr="00000000">
              <w:rPr>
                <w:rtl w:val="0"/>
              </w:rPr>
            </w:r>
          </w:p>
        </w:tc>
      </w:tr>
      <w:tr>
        <w:trPr>
          <w:cantSplit w:val="0"/>
          <w:trHeight w:val="38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BB">
            <w:pPr>
              <w:pageBreakBefore w:val="0"/>
              <w:widowControl w:val="0"/>
              <w:spacing w:line="276" w:lineRule="auto"/>
              <w:rPr>
                <w:rFonts w:ascii="Arial" w:cs="Arial" w:eastAsia="Arial" w:hAnsi="Arial"/>
                <w:sz w:val="22"/>
                <w:szCs w:val="22"/>
              </w:rPr>
            </w:pPr>
            <w:r w:rsidDel="00000000" w:rsidR="00000000" w:rsidRPr="00000000">
              <w:rPr>
                <w:rFonts w:ascii="Helvetica" w:cs="Helvetica" w:eastAsia="Helvetica" w:hAnsi="Helvetica"/>
                <w:sz w:val="22"/>
                <w:szCs w:val="22"/>
                <w:rtl w:val="0"/>
              </w:rPr>
              <w:t xml:space="preserve">Electricity - Street Lighting</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BC">
            <w:pPr>
              <w:pageBreakBefore w:val="0"/>
              <w:widowControl w:val="0"/>
              <w:spacing w:line="276" w:lineRule="auto"/>
              <w:jc w:val="center"/>
              <w:rPr>
                <w:rFonts w:ascii="Arial" w:cs="Arial" w:eastAsia="Arial" w:hAnsi="Arial"/>
                <w:sz w:val="22"/>
                <w:szCs w:val="22"/>
              </w:rPr>
            </w:pPr>
            <w:r w:rsidDel="00000000" w:rsidR="00000000" w:rsidRPr="00000000">
              <w:rPr>
                <w:rFonts w:ascii="Helvetica" w:cs="Helvetica" w:eastAsia="Helvetica" w:hAnsi="Helvetica"/>
                <w:sz w:val="22"/>
                <w:szCs w:val="22"/>
                <w:rtl w:val="0"/>
              </w:rPr>
              <w:t xml:space="preserve">kwh</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BD">
            <w:pPr>
              <w:pageBreakBefore w:val="0"/>
              <w:widowControl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BE">
            <w:pPr>
              <w:pageBreakBefore w:val="0"/>
              <w:widowControl w:val="0"/>
              <w:spacing w:line="276" w:lineRule="auto"/>
              <w:jc w:val="center"/>
              <w:rPr>
                <w:rFonts w:ascii="Arial" w:cs="Arial" w:eastAsia="Arial" w:hAnsi="Arial"/>
                <w:sz w:val="22"/>
                <w:szCs w:val="22"/>
              </w:rPr>
            </w:pPr>
            <w:r w:rsidDel="00000000" w:rsidR="00000000" w:rsidRPr="00000000">
              <w:rPr>
                <w:rFonts w:ascii="Helvetica" w:cs="Helvetica" w:eastAsia="Helvetica" w:hAnsi="Helvetica"/>
                <w:sz w:val="22"/>
                <w:szCs w:val="22"/>
                <w:rtl w:val="0"/>
              </w:rPr>
              <w:t xml:space="preserve">3,954,133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BF">
            <w:pPr>
              <w:pageBreakBefore w:val="0"/>
              <w:widowControl w:val="0"/>
              <w:spacing w:line="276" w:lineRule="auto"/>
              <w:jc w:val="center"/>
              <w:rPr>
                <w:rFonts w:ascii="Arial" w:cs="Arial" w:eastAsia="Arial" w:hAnsi="Arial"/>
                <w:sz w:val="22"/>
                <w:szCs w:val="22"/>
              </w:rPr>
            </w:pPr>
            <w:r w:rsidDel="00000000" w:rsidR="00000000" w:rsidRPr="00000000">
              <w:rPr>
                <w:rFonts w:ascii="Helvetica" w:cs="Helvetica" w:eastAsia="Helvetica" w:hAnsi="Helvetica"/>
                <w:sz w:val="22"/>
                <w:szCs w:val="22"/>
                <w:rtl w:val="0"/>
              </w:rPr>
              <w:t xml:space="preserve">818,799</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C0">
            <w:pPr>
              <w:pageBreakBefore w:val="0"/>
              <w:widowControl w:val="0"/>
              <w:spacing w:line="276" w:lineRule="auto"/>
              <w:jc w:val="center"/>
              <w:rPr>
                <w:rFonts w:ascii="Arial" w:cs="Arial" w:eastAsia="Arial" w:hAnsi="Arial"/>
                <w:sz w:val="22"/>
                <w:szCs w:val="22"/>
              </w:rPr>
            </w:pPr>
            <w:r w:rsidDel="00000000" w:rsidR="00000000" w:rsidRPr="00000000">
              <w:rPr>
                <w:rFonts w:ascii="Helvetica" w:cs="Helvetica" w:eastAsia="Helvetica" w:hAnsi="Helvetica"/>
                <w:b w:val="1"/>
                <w:sz w:val="22"/>
                <w:szCs w:val="22"/>
                <w:rtl w:val="0"/>
              </w:rPr>
              <w:t xml:space="preserve">Scope 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C1">
            <w:pPr>
              <w:pageBreakBefore w:val="0"/>
              <w:widowControl w:val="0"/>
              <w:spacing w:line="276" w:lineRule="auto"/>
              <w:rPr>
                <w:rFonts w:ascii="Arial" w:cs="Arial" w:eastAsia="Arial" w:hAnsi="Arial"/>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C2">
            <w:pPr>
              <w:pageBreakBefore w:val="0"/>
              <w:widowControl w:val="0"/>
              <w:spacing w:line="276" w:lineRule="auto"/>
              <w:rPr>
                <w:rFonts w:ascii="Arial" w:cs="Arial" w:eastAsia="Arial" w:hAnsi="Arial"/>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C3">
            <w:pPr>
              <w:pageBreakBefore w:val="0"/>
              <w:widowControl w:val="0"/>
              <w:spacing w:line="276" w:lineRule="auto"/>
              <w:rPr>
                <w:rFonts w:ascii="Arial" w:cs="Arial" w:eastAsia="Arial" w:hAnsi="Arial"/>
                <w:sz w:val="22"/>
                <w:szCs w:val="22"/>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C4">
            <w:pPr>
              <w:pageBreakBefore w:val="0"/>
              <w:widowControl w:val="0"/>
              <w:spacing w:line="276" w:lineRule="auto"/>
              <w:rPr>
                <w:rFonts w:ascii="Arial" w:cs="Arial" w:eastAsia="Arial" w:hAnsi="Arial"/>
                <w:sz w:val="22"/>
                <w:szCs w:val="22"/>
              </w:rPr>
            </w:pP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C5">
            <w:pPr>
              <w:pageBreakBefore w:val="0"/>
              <w:widowControl w:val="0"/>
              <w:spacing w:line="276" w:lineRule="auto"/>
              <w:rPr>
                <w:rFonts w:ascii="Arial" w:cs="Arial" w:eastAsia="Arial" w:hAnsi="Arial"/>
                <w:sz w:val="22"/>
                <w:szCs w:val="22"/>
              </w:rPr>
            </w:pPr>
            <w:r w:rsidDel="00000000" w:rsidR="00000000" w:rsidRPr="00000000">
              <w:rPr>
                <w:rFonts w:ascii="Helvetica" w:cs="Helvetica" w:eastAsia="Helvetica" w:hAnsi="Helvetica"/>
                <w:sz w:val="22"/>
                <w:szCs w:val="22"/>
                <w:rtl w:val="0"/>
              </w:rPr>
              <w:t xml:space="preserve">Business Travel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C6">
            <w:pPr>
              <w:pageBreakBefore w:val="0"/>
              <w:widowControl w:val="0"/>
              <w:spacing w:line="276" w:lineRule="auto"/>
              <w:jc w:val="center"/>
              <w:rPr>
                <w:rFonts w:ascii="Arial" w:cs="Arial" w:eastAsia="Arial" w:hAnsi="Arial"/>
                <w:sz w:val="22"/>
                <w:szCs w:val="22"/>
              </w:rPr>
            </w:pPr>
            <w:r w:rsidDel="00000000" w:rsidR="00000000" w:rsidRPr="00000000">
              <w:rPr>
                <w:rFonts w:ascii="Helvetica" w:cs="Helvetica" w:eastAsia="Helvetica" w:hAnsi="Helvetica"/>
                <w:sz w:val="22"/>
                <w:szCs w:val="22"/>
                <w:rtl w:val="0"/>
              </w:rPr>
              <w:t xml:space="preserve">km</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C7">
            <w:pPr>
              <w:pageBreakBefore w:val="0"/>
              <w:widowControl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C8">
            <w:pPr>
              <w:pageBreakBefore w:val="0"/>
              <w:widowControl w:val="0"/>
              <w:spacing w:line="276" w:lineRule="auto"/>
              <w:jc w:val="center"/>
              <w:rPr>
                <w:rFonts w:ascii="Arial" w:cs="Arial" w:eastAsia="Arial" w:hAnsi="Arial"/>
                <w:sz w:val="22"/>
                <w:szCs w:val="22"/>
              </w:rPr>
            </w:pPr>
            <w:r w:rsidDel="00000000" w:rsidR="00000000" w:rsidRPr="00000000">
              <w:rPr>
                <w:rFonts w:ascii="Helvetica" w:cs="Helvetica" w:eastAsia="Helvetica" w:hAnsi="Helvetica"/>
                <w:sz w:val="22"/>
                <w:szCs w:val="22"/>
                <w:rtl w:val="0"/>
              </w:rPr>
              <w:t xml:space="preserve">393,707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C9">
            <w:pPr>
              <w:pageBreakBefore w:val="0"/>
              <w:widowControl w:val="0"/>
              <w:spacing w:line="276" w:lineRule="auto"/>
              <w:jc w:val="center"/>
              <w:rPr>
                <w:rFonts w:ascii="Arial" w:cs="Arial" w:eastAsia="Arial" w:hAnsi="Arial"/>
                <w:sz w:val="22"/>
                <w:szCs w:val="22"/>
              </w:rPr>
            </w:pPr>
            <w:r w:rsidDel="00000000" w:rsidR="00000000" w:rsidRPr="00000000">
              <w:rPr>
                <w:rFonts w:ascii="Helvetica" w:cs="Helvetica" w:eastAsia="Helvetica" w:hAnsi="Helvetica"/>
                <w:sz w:val="22"/>
                <w:szCs w:val="22"/>
                <w:rtl w:val="0"/>
              </w:rPr>
              <w:t xml:space="preserve">65,607</w:t>
            </w: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CA">
            <w:pPr>
              <w:pageBreakBefore w:val="0"/>
              <w:widowControl w:val="0"/>
              <w:spacing w:line="276" w:lineRule="auto"/>
              <w:rPr>
                <w:rFonts w:ascii="Arial" w:cs="Arial" w:eastAsia="Arial" w:hAnsi="Arial"/>
                <w:sz w:val="22"/>
                <w:szCs w:val="22"/>
              </w:rPr>
            </w:pPr>
            <w:r w:rsidDel="00000000" w:rsidR="00000000" w:rsidRPr="00000000">
              <w:rPr>
                <w:rFonts w:ascii="Helvetica" w:cs="Helvetica" w:eastAsia="Helvetica" w:hAnsi="Helvetica"/>
                <w:sz w:val="22"/>
                <w:szCs w:val="22"/>
                <w:rtl w:val="0"/>
              </w:rPr>
              <w:t xml:space="preserve">Waste Collection</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CB">
            <w:pPr>
              <w:pageBreakBefore w:val="0"/>
              <w:widowControl w:val="0"/>
              <w:spacing w:line="276" w:lineRule="auto"/>
              <w:jc w:val="center"/>
              <w:rPr>
                <w:rFonts w:ascii="Arial" w:cs="Arial" w:eastAsia="Arial" w:hAnsi="Arial"/>
                <w:sz w:val="22"/>
                <w:szCs w:val="22"/>
              </w:rPr>
            </w:pPr>
            <w:r w:rsidDel="00000000" w:rsidR="00000000" w:rsidRPr="00000000">
              <w:rPr>
                <w:rFonts w:ascii="Helvetica" w:cs="Helvetica" w:eastAsia="Helvetica" w:hAnsi="Helvetica"/>
                <w:sz w:val="22"/>
                <w:szCs w:val="22"/>
                <w:rtl w:val="0"/>
              </w:rPr>
              <w:t xml:space="preserve">litres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CC">
            <w:pPr>
              <w:pageBreakBefore w:val="0"/>
              <w:widowControl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CD">
            <w:pPr>
              <w:pageBreakBefore w:val="0"/>
              <w:widowControl w:val="0"/>
              <w:spacing w:line="276" w:lineRule="auto"/>
              <w:jc w:val="center"/>
              <w:rPr>
                <w:rFonts w:ascii="Arial" w:cs="Arial" w:eastAsia="Arial" w:hAnsi="Arial"/>
                <w:sz w:val="22"/>
                <w:szCs w:val="22"/>
              </w:rPr>
            </w:pPr>
            <w:r w:rsidDel="00000000" w:rsidR="00000000" w:rsidRPr="00000000">
              <w:rPr>
                <w:rFonts w:ascii="Helvetica" w:cs="Helvetica" w:eastAsia="Helvetica" w:hAnsi="Helvetica"/>
                <w:sz w:val="22"/>
                <w:szCs w:val="22"/>
                <w:rtl w:val="0"/>
              </w:rPr>
              <w:t xml:space="preserve">367,114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CE">
            <w:pPr>
              <w:pageBreakBefore w:val="0"/>
              <w:widowControl w:val="0"/>
              <w:spacing w:line="276" w:lineRule="auto"/>
              <w:jc w:val="center"/>
              <w:rPr>
                <w:rFonts w:ascii="Arial" w:cs="Arial" w:eastAsia="Arial" w:hAnsi="Arial"/>
                <w:sz w:val="22"/>
                <w:szCs w:val="22"/>
              </w:rPr>
            </w:pPr>
            <w:r w:rsidDel="00000000" w:rsidR="00000000" w:rsidRPr="00000000">
              <w:rPr>
                <w:rFonts w:ascii="Helvetica" w:cs="Helvetica" w:eastAsia="Helvetica" w:hAnsi="Helvetica"/>
                <w:sz w:val="22"/>
                <w:szCs w:val="22"/>
                <w:rtl w:val="0"/>
              </w:rPr>
              <w:t xml:space="preserve">1,064,507</w:t>
            </w:r>
            <w:r w:rsidDel="00000000" w:rsidR="00000000" w:rsidRPr="00000000">
              <w:rPr>
                <w:rtl w:val="0"/>
              </w:rPr>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CF">
            <w:pPr>
              <w:pageBreakBefore w:val="0"/>
              <w:widowControl w:val="0"/>
              <w:spacing w:line="276" w:lineRule="auto"/>
              <w:rPr>
                <w:rFonts w:ascii="Arial" w:cs="Arial" w:eastAsia="Arial" w:hAnsi="Arial"/>
                <w:sz w:val="22"/>
                <w:szCs w:val="22"/>
              </w:rPr>
            </w:pPr>
            <w:r w:rsidDel="00000000" w:rsidR="00000000" w:rsidRPr="00000000">
              <w:rPr>
                <w:rFonts w:ascii="Helvetica" w:cs="Helvetica" w:eastAsia="Helvetica" w:hAnsi="Helvetica"/>
                <w:sz w:val="22"/>
                <w:szCs w:val="22"/>
                <w:rtl w:val="0"/>
              </w:rPr>
              <w:t xml:space="preserve">Transmission &amp; Distribution</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D0">
            <w:pPr>
              <w:pageBreakBefore w:val="0"/>
              <w:widowControl w:val="0"/>
              <w:spacing w:line="276" w:lineRule="auto"/>
              <w:jc w:val="center"/>
              <w:rPr>
                <w:rFonts w:ascii="Arial" w:cs="Arial" w:eastAsia="Arial" w:hAnsi="Arial"/>
                <w:sz w:val="22"/>
                <w:szCs w:val="22"/>
              </w:rPr>
            </w:pPr>
            <w:r w:rsidDel="00000000" w:rsidR="00000000" w:rsidRPr="00000000">
              <w:rPr>
                <w:rFonts w:ascii="Helvetica" w:cs="Helvetica" w:eastAsia="Helvetica" w:hAnsi="Helvetica"/>
                <w:sz w:val="22"/>
                <w:szCs w:val="22"/>
                <w:rtl w:val="0"/>
              </w:rPr>
              <w:t xml:space="preserve">kwh</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D1">
            <w:pPr>
              <w:pageBreakBefore w:val="0"/>
              <w:widowControl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D2">
            <w:pPr>
              <w:pageBreakBefore w:val="0"/>
              <w:widowControl w:val="0"/>
              <w:spacing w:line="276" w:lineRule="auto"/>
              <w:jc w:val="center"/>
              <w:rPr>
                <w:rFonts w:ascii="Arial" w:cs="Arial" w:eastAsia="Arial" w:hAnsi="Arial"/>
                <w:sz w:val="22"/>
                <w:szCs w:val="22"/>
              </w:rPr>
            </w:pPr>
            <w:r w:rsidDel="00000000" w:rsidR="00000000" w:rsidRPr="00000000">
              <w:rPr>
                <w:rFonts w:ascii="Helvetica" w:cs="Helvetica" w:eastAsia="Helvetica" w:hAnsi="Helvetica"/>
                <w:sz w:val="22"/>
                <w:szCs w:val="22"/>
                <w:rtl w:val="0"/>
              </w:rPr>
              <w:t xml:space="preserve">14,679,957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D3">
            <w:pPr>
              <w:pageBreakBefore w:val="0"/>
              <w:widowControl w:val="0"/>
              <w:spacing w:line="276" w:lineRule="auto"/>
              <w:jc w:val="center"/>
              <w:rPr>
                <w:rFonts w:ascii="Arial" w:cs="Arial" w:eastAsia="Arial" w:hAnsi="Arial"/>
                <w:sz w:val="22"/>
                <w:szCs w:val="22"/>
              </w:rPr>
            </w:pPr>
            <w:r w:rsidDel="00000000" w:rsidR="00000000" w:rsidRPr="00000000">
              <w:rPr>
                <w:rFonts w:ascii="Helvetica" w:cs="Helvetica" w:eastAsia="Helvetica" w:hAnsi="Helvetica"/>
                <w:sz w:val="22"/>
                <w:szCs w:val="22"/>
                <w:rtl w:val="0"/>
              </w:rPr>
              <w:t xml:space="preserve">262,993</w:t>
            </w:r>
            <w:r w:rsidDel="00000000" w:rsidR="00000000" w:rsidRPr="00000000">
              <w:rPr>
                <w:rtl w:val="0"/>
              </w:rPr>
            </w:r>
          </w:p>
        </w:tc>
      </w:tr>
    </w:tbl>
    <w:p w:rsidR="00000000" w:rsidDel="00000000" w:rsidP="00000000" w:rsidRDefault="00000000" w:rsidRPr="00000000" w14:paraId="000000D4">
      <w:pPr>
        <w:pageBreakBefore w:val="0"/>
        <w:spacing w:line="360" w:lineRule="auto"/>
        <w:ind w:left="720" w:firstLine="0"/>
        <w:rPr>
          <w:rFonts w:ascii="Helvetica" w:cs="Helvetica" w:eastAsia="Helvetica" w:hAnsi="Helvetica"/>
          <w:sz w:val="20"/>
          <w:szCs w:val="20"/>
        </w:rPr>
      </w:pPr>
      <w:r w:rsidDel="00000000" w:rsidR="00000000" w:rsidRPr="00000000">
        <w:rPr>
          <w:rtl w:val="0"/>
        </w:rPr>
      </w:r>
    </w:p>
    <w:p w:rsidR="00000000" w:rsidDel="00000000" w:rsidP="00000000" w:rsidRDefault="00000000" w:rsidRPr="00000000" w14:paraId="000000D5">
      <w:pPr>
        <w:pageBreakBefore w:val="0"/>
        <w:spacing w:line="276" w:lineRule="auto"/>
        <w:ind w:left="720" w:firstLine="0"/>
        <w:rPr>
          <w:rFonts w:ascii="Helvetica" w:cs="Helvetica" w:eastAsia="Helvetica" w:hAnsi="Helvetica"/>
          <w:b w:val="1"/>
          <w:sz w:val="20"/>
          <w:szCs w:val="20"/>
        </w:rPr>
      </w:pPr>
      <w:r w:rsidDel="00000000" w:rsidR="00000000" w:rsidRPr="00000000">
        <w:rPr>
          <w:rtl w:val="0"/>
        </w:rPr>
      </w:r>
    </w:p>
    <w:p w:rsidR="00000000" w:rsidDel="00000000" w:rsidP="00000000" w:rsidRDefault="00000000" w:rsidRPr="00000000" w14:paraId="000000D6">
      <w:pPr>
        <w:pageBreakBefore w:val="0"/>
        <w:spacing w:line="276" w:lineRule="auto"/>
        <w:ind w:left="720" w:firstLine="0"/>
        <w:rPr>
          <w:rFonts w:ascii="Helvetica" w:cs="Helvetica" w:eastAsia="Helvetica" w:hAnsi="Helvetica"/>
          <w:b w:val="1"/>
          <w:sz w:val="20"/>
          <w:szCs w:val="20"/>
        </w:rPr>
      </w:pPr>
      <w:r w:rsidDel="00000000" w:rsidR="00000000" w:rsidRPr="00000000">
        <w:rPr>
          <w:rtl w:val="0"/>
        </w:rPr>
      </w:r>
    </w:p>
    <w:p w:rsidR="00000000" w:rsidDel="00000000" w:rsidP="00000000" w:rsidRDefault="00000000" w:rsidRPr="00000000" w14:paraId="000000D7">
      <w:pPr>
        <w:pageBreakBefore w:val="0"/>
        <w:spacing w:line="360" w:lineRule="auto"/>
        <w:ind w:left="425.19685039370086" w:firstLine="0"/>
        <w:rPr>
          <w:rFonts w:ascii="Helvetica" w:cs="Helvetica" w:eastAsia="Helvetica" w:hAnsi="Helvetica"/>
          <w:b w:val="1"/>
          <w:sz w:val="20"/>
          <w:szCs w:val="20"/>
        </w:rPr>
        <w:sectPr>
          <w:footerReference r:id="rId11" w:type="default"/>
          <w:pgSz w:h="16838" w:w="11906" w:orient="portrait"/>
          <w:pgMar w:bottom="1134" w:top="1361" w:left="1797" w:right="1710" w:header="0" w:footer="720"/>
          <w:pgNumType w:start="1"/>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0D8">
      <w:pPr>
        <w:pageBreakBefore w:val="0"/>
        <w:spacing w:line="360" w:lineRule="auto"/>
        <w:ind w:left="0" w:firstLine="0"/>
        <w:rPr>
          <w:rFonts w:ascii="Helvetica" w:cs="Helvetica" w:eastAsia="Helvetica" w:hAnsi="Helvetica"/>
          <w:b w:val="1"/>
          <w:sz w:val="20"/>
          <w:szCs w:val="20"/>
        </w:rPr>
      </w:pPr>
      <w:r w:rsidDel="00000000" w:rsidR="00000000" w:rsidRPr="00000000">
        <w:rPr>
          <w:rFonts w:ascii="Helvetica" w:cs="Helvetica" w:eastAsia="Helvetica" w:hAnsi="Helvetica"/>
          <w:b w:val="1"/>
          <w:sz w:val="20"/>
          <w:szCs w:val="20"/>
          <w:rtl w:val="0"/>
        </w:rPr>
        <w:t xml:space="preserve">Table 4: Annual GHG emissions for all years measured</w:t>
      </w:r>
    </w:p>
    <w:p w:rsidR="00000000" w:rsidDel="00000000" w:rsidP="00000000" w:rsidRDefault="00000000" w:rsidRPr="00000000" w14:paraId="000000D9">
      <w:pPr>
        <w:pageBreakBefore w:val="0"/>
        <w:spacing w:line="360" w:lineRule="auto"/>
        <w:ind w:left="720" w:right="0" w:firstLine="0"/>
        <w:rPr>
          <w:rFonts w:ascii="Helvetica" w:cs="Helvetica" w:eastAsia="Helvetica" w:hAnsi="Helvetica"/>
          <w:b w:val="1"/>
          <w:sz w:val="20"/>
          <w:szCs w:val="20"/>
        </w:rPr>
      </w:pPr>
      <w:r w:rsidDel="00000000" w:rsidR="00000000" w:rsidRPr="00000000">
        <w:rPr>
          <w:rtl w:val="0"/>
        </w:rPr>
      </w:r>
    </w:p>
    <w:tbl>
      <w:tblPr>
        <w:tblStyle w:val="Table4"/>
        <w:tblW w:w="1383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05"/>
        <w:gridCol w:w="675"/>
        <w:gridCol w:w="720"/>
        <w:gridCol w:w="795"/>
        <w:gridCol w:w="795"/>
        <w:gridCol w:w="795"/>
        <w:gridCol w:w="795"/>
        <w:gridCol w:w="795"/>
        <w:gridCol w:w="795"/>
        <w:gridCol w:w="795"/>
        <w:gridCol w:w="765"/>
        <w:gridCol w:w="840"/>
        <w:gridCol w:w="795"/>
        <w:gridCol w:w="840"/>
        <w:gridCol w:w="795"/>
        <w:gridCol w:w="825"/>
        <w:gridCol w:w="1005"/>
        <w:tblGridChange w:id="0">
          <w:tblGrid>
            <w:gridCol w:w="1005"/>
            <w:gridCol w:w="675"/>
            <w:gridCol w:w="720"/>
            <w:gridCol w:w="795"/>
            <w:gridCol w:w="795"/>
            <w:gridCol w:w="795"/>
            <w:gridCol w:w="795"/>
            <w:gridCol w:w="795"/>
            <w:gridCol w:w="795"/>
            <w:gridCol w:w="795"/>
            <w:gridCol w:w="765"/>
            <w:gridCol w:w="840"/>
            <w:gridCol w:w="795"/>
            <w:gridCol w:w="840"/>
            <w:gridCol w:w="795"/>
            <w:gridCol w:w="825"/>
            <w:gridCol w:w="1005"/>
          </w:tblGrid>
        </w:tblGridChange>
      </w:tblGrid>
      <w:tr>
        <w:trPr>
          <w:cantSplit w:val="1"/>
          <w:trHeight w:val="360" w:hRule="atLeast"/>
          <w:tblHeader w:val="0"/>
        </w:trPr>
        <w:tc>
          <w:tcPr>
            <w:tcBorders>
              <w:top w:color="000000" w:space="0" w:sz="12" w:val="single"/>
              <w:left w:color="000000" w:space="0" w:sz="12" w:val="single"/>
              <w:bottom w:color="000000" w:space="0" w:sz="8"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DA">
            <w:pPr>
              <w:widowControl w:val="0"/>
              <w:spacing w:line="276" w:lineRule="auto"/>
              <w:rPr>
                <w:rFonts w:ascii="Calibri" w:cs="Calibri" w:eastAsia="Calibri" w:hAnsi="Calibri"/>
              </w:rPr>
            </w:pPr>
            <w:r w:rsidDel="00000000" w:rsidR="00000000" w:rsidRPr="00000000">
              <w:rPr>
                <w:rtl w:val="0"/>
              </w:rPr>
            </w:r>
          </w:p>
        </w:tc>
        <w:tc>
          <w:tcPr>
            <w:gridSpan w:val="16"/>
            <w:tcBorders>
              <w:top w:color="000000" w:space="0" w:sz="12" w:val="single"/>
              <w:left w:color="cccccc" w:space="0" w:sz="6" w:val="single"/>
              <w:bottom w:color="000000" w:space="0" w:sz="6" w:val="single"/>
              <w:right w:color="000000" w:space="0" w:sz="12" w:val="single"/>
            </w:tcBorders>
            <w:shd w:fill="auto" w:val="clear"/>
            <w:tcMar>
              <w:top w:w="0.0" w:type="dxa"/>
              <w:left w:w="40.0" w:type="dxa"/>
              <w:bottom w:w="0.0" w:type="dxa"/>
              <w:right w:w="40.0" w:type="dxa"/>
            </w:tcMar>
            <w:vAlign w:val="center"/>
          </w:tcPr>
          <w:p w:rsidR="00000000" w:rsidDel="00000000" w:rsidP="00000000" w:rsidRDefault="00000000" w:rsidRPr="00000000" w14:paraId="000000DB">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Tonnes of CO2e</w:t>
            </w:r>
            <w:r w:rsidDel="00000000" w:rsidR="00000000" w:rsidRPr="00000000">
              <w:rPr>
                <w:rtl w:val="0"/>
              </w:rPr>
            </w:r>
          </w:p>
        </w:tc>
      </w:tr>
      <w:tr>
        <w:trPr>
          <w:cantSplit w:val="0"/>
          <w:trHeight w:val="1005" w:hRule="atLeast"/>
          <w:tblHeader w:val="0"/>
        </w:trPr>
        <w:tc>
          <w:tcPr>
            <w:tcBorders>
              <w:top w:color="000000" w:space="0" w:sz="8" w:val="single"/>
              <w:left w:color="000000" w:space="0" w:sz="12"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EB">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Category</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EC">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2023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ED">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2022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EE">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2021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EF">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2020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F0">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2019</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F1">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2018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F2">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2017</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F3">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2016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F4">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2015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F5">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2014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F6">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2013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F7">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2012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F8">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2011</w:t>
            </w:r>
            <w:r w:rsidDel="00000000" w:rsidR="00000000" w:rsidRPr="00000000">
              <w:rPr>
                <w:rtl w:val="0"/>
              </w:rPr>
            </w:r>
          </w:p>
        </w:tc>
        <w:tc>
          <w:tcPr>
            <w:tcBorders>
              <w:top w:color="cccccc" w:space="0" w:sz="6" w:val="single"/>
              <w:left w:color="cccccc" w:space="0" w:sz="6" w:val="single"/>
              <w:bottom w:color="000000" w:space="0" w:sz="6" w:val="single"/>
              <w:right w:color="000000" w:space="0" w:sz="12" w:val="single"/>
            </w:tcBorders>
            <w:shd w:fill="auto" w:val="clear"/>
            <w:tcMar>
              <w:top w:w="0.0" w:type="dxa"/>
              <w:left w:w="40.0" w:type="dxa"/>
              <w:bottom w:w="0.0" w:type="dxa"/>
              <w:right w:w="40.0" w:type="dxa"/>
            </w:tcMar>
            <w:vAlign w:val="center"/>
          </w:tcPr>
          <w:p w:rsidR="00000000" w:rsidDel="00000000" w:rsidP="00000000" w:rsidRDefault="00000000" w:rsidRPr="00000000" w14:paraId="000000F9">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2010</w:t>
            </w:r>
            <w:r w:rsidDel="00000000" w:rsidR="00000000" w:rsidRPr="00000000">
              <w:rPr>
                <w:rtl w:val="0"/>
              </w:rPr>
            </w:r>
          </w:p>
        </w:tc>
        <w:tc>
          <w:tcPr>
            <w:tcBorders>
              <w:top w:color="cccccc" w:space="0" w:sz="6" w:val="single"/>
              <w:left w:color="cccccc" w:space="0" w:sz="6" w:val="single"/>
              <w:bottom w:color="000000" w:space="0" w:sz="6" w:val="single"/>
              <w:right w:color="000000" w:space="0" w:sz="12" w:val="single"/>
            </w:tcBorders>
            <w:shd w:fill="auto" w:val="clear"/>
            <w:tcMar>
              <w:top w:w="0.0" w:type="dxa"/>
              <w:left w:w="40.0" w:type="dxa"/>
              <w:bottom w:w="0.0" w:type="dxa"/>
              <w:right w:w="40.0" w:type="dxa"/>
            </w:tcMar>
            <w:vAlign w:val="center"/>
          </w:tcPr>
          <w:p w:rsidR="00000000" w:rsidDel="00000000" w:rsidP="00000000" w:rsidRDefault="00000000" w:rsidRPr="00000000" w14:paraId="000000FA">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2009</w:t>
            </w:r>
            <w:r w:rsidDel="00000000" w:rsidR="00000000" w:rsidRPr="00000000">
              <w:rPr>
                <w:rtl w:val="0"/>
              </w:rPr>
            </w:r>
          </w:p>
        </w:tc>
        <w:tc>
          <w:tcPr>
            <w:tcBorders>
              <w:top w:color="cccccc" w:space="0" w:sz="6" w:val="single"/>
              <w:left w:color="cccccc" w:space="0" w:sz="6" w:val="single"/>
              <w:bottom w:color="000000" w:space="0" w:sz="6" w:val="single"/>
              <w:right w:color="000000" w:space="0" w:sz="12" w:val="single"/>
            </w:tcBorders>
            <w:shd w:fill="ccff66" w:val="clear"/>
            <w:tcMar>
              <w:top w:w="0.0" w:type="dxa"/>
              <w:left w:w="40.0" w:type="dxa"/>
              <w:bottom w:w="0.0" w:type="dxa"/>
              <w:right w:w="40.0" w:type="dxa"/>
            </w:tcMar>
            <w:vAlign w:val="center"/>
          </w:tcPr>
          <w:p w:rsidR="00000000" w:rsidDel="00000000" w:rsidP="00000000" w:rsidRDefault="00000000" w:rsidRPr="00000000" w14:paraId="000000FB">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Base Year 2008</w:t>
            </w:r>
            <w:r w:rsidDel="00000000" w:rsidR="00000000" w:rsidRPr="00000000">
              <w:rPr>
                <w:rtl w:val="0"/>
              </w:rPr>
            </w:r>
          </w:p>
        </w:tc>
      </w:tr>
      <w:tr>
        <w:trPr>
          <w:cantSplit w:val="0"/>
          <w:trHeight w:val="497.41935483870964" w:hRule="atLeast"/>
          <w:tblHeader w:val="0"/>
        </w:trPr>
        <w:tc>
          <w:tcPr>
            <w:tcBorders>
              <w:top w:color="cccccc" w:space="0" w:sz="6" w:val="single"/>
              <w:left w:color="000000" w:space="0" w:sz="12"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FC">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Scope 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FD">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2,950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FE">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3,117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FF">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3,065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00">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2,696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01">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3,279</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02">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3,379</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03">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3,338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04">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4,316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05">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4,568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06">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4,778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07">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4,770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08">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5,198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09">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4,444</w:t>
            </w: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10A">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5,426</w:t>
            </w:r>
            <w:r w:rsidDel="00000000" w:rsidR="00000000" w:rsidRPr="00000000">
              <w:rPr>
                <w:rtl w:val="0"/>
              </w:rPr>
            </w:r>
          </w:p>
        </w:tc>
        <w:tc>
          <w:tcPr>
            <w:tcBorders>
              <w:top w:color="000000" w:space="0" w:sz="6" w:val="single"/>
              <w:left w:color="000000" w:space="0" w:sz="12" w:val="single"/>
              <w:bottom w:color="000000" w:space="0" w:sz="6"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10B">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5,450</w:t>
            </w:r>
            <w:r w:rsidDel="00000000" w:rsidR="00000000" w:rsidRPr="00000000">
              <w:rPr>
                <w:rtl w:val="0"/>
              </w:rPr>
            </w:r>
          </w:p>
        </w:tc>
        <w:tc>
          <w:tcPr>
            <w:tcBorders>
              <w:top w:color="cccccc" w:space="0" w:sz="6" w:val="single"/>
              <w:left w:color="cccccc" w:space="0" w:sz="6" w:val="single"/>
              <w:bottom w:color="000000" w:space="0" w:sz="6" w:val="single"/>
              <w:right w:color="000000" w:space="0" w:sz="12" w:val="single"/>
            </w:tcBorders>
            <w:shd w:fill="ccff66" w:val="clear"/>
            <w:tcMar>
              <w:top w:w="0.0" w:type="dxa"/>
              <w:left w:w="40.0" w:type="dxa"/>
              <w:bottom w:w="0.0" w:type="dxa"/>
              <w:right w:w="40.0" w:type="dxa"/>
            </w:tcMar>
            <w:vAlign w:val="center"/>
          </w:tcPr>
          <w:p w:rsidR="00000000" w:rsidDel="00000000" w:rsidP="00000000" w:rsidRDefault="00000000" w:rsidRPr="00000000" w14:paraId="0000010C">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6,095</w:t>
            </w:r>
            <w:r w:rsidDel="00000000" w:rsidR="00000000" w:rsidRPr="00000000">
              <w:rPr>
                <w:rtl w:val="0"/>
              </w:rPr>
            </w:r>
          </w:p>
        </w:tc>
      </w:tr>
      <w:tr>
        <w:trPr>
          <w:cantSplit w:val="0"/>
          <w:trHeight w:val="621.7741935483871" w:hRule="atLeast"/>
          <w:tblHeader w:val="0"/>
        </w:trPr>
        <w:tc>
          <w:tcPr>
            <w:tcBorders>
              <w:top w:color="cccccc" w:space="0" w:sz="6" w:val="single"/>
              <w:left w:color="000000" w:space="0" w:sz="12"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0D">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Scope 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0E">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3,040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0F">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2,902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10">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3,197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11">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3,335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12">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4,076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13">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4,595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14">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5,857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15">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7,186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16">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8,458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17">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8,888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18">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8,384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19">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8,162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1A">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8,398</w:t>
            </w: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11B">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9,535</w:t>
            </w:r>
            <w:r w:rsidDel="00000000" w:rsidR="00000000" w:rsidRPr="00000000">
              <w:rPr>
                <w:rtl w:val="0"/>
              </w:rPr>
            </w:r>
          </w:p>
        </w:tc>
        <w:tc>
          <w:tcPr>
            <w:tcBorders>
              <w:top w:color="000000" w:space="0" w:sz="6" w:val="single"/>
              <w:left w:color="000000" w:space="0" w:sz="12" w:val="single"/>
              <w:bottom w:color="000000" w:space="0" w:sz="6"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11C">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10,100</w:t>
            </w:r>
            <w:r w:rsidDel="00000000" w:rsidR="00000000" w:rsidRPr="00000000">
              <w:rPr>
                <w:rtl w:val="0"/>
              </w:rPr>
            </w:r>
          </w:p>
        </w:tc>
        <w:tc>
          <w:tcPr>
            <w:tcBorders>
              <w:top w:color="cccccc" w:space="0" w:sz="6" w:val="single"/>
              <w:left w:color="cccccc" w:space="0" w:sz="6" w:val="single"/>
              <w:bottom w:color="000000" w:space="0" w:sz="6" w:val="single"/>
              <w:right w:color="000000" w:space="0" w:sz="12" w:val="single"/>
            </w:tcBorders>
            <w:shd w:fill="ccff66" w:val="clear"/>
            <w:tcMar>
              <w:top w:w="0.0" w:type="dxa"/>
              <w:left w:w="40.0" w:type="dxa"/>
              <w:bottom w:w="0.0" w:type="dxa"/>
              <w:right w:w="40.0" w:type="dxa"/>
            </w:tcMar>
            <w:vAlign w:val="center"/>
          </w:tcPr>
          <w:p w:rsidR="00000000" w:rsidDel="00000000" w:rsidP="00000000" w:rsidRDefault="00000000" w:rsidRPr="00000000" w14:paraId="0000011D">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10,012</w:t>
            </w:r>
            <w:r w:rsidDel="00000000" w:rsidR="00000000" w:rsidRPr="00000000">
              <w:rPr>
                <w:rtl w:val="0"/>
              </w:rPr>
            </w:r>
          </w:p>
        </w:tc>
      </w:tr>
      <w:tr>
        <w:trPr>
          <w:cantSplit w:val="0"/>
          <w:trHeight w:val="621.7741935483871" w:hRule="atLeast"/>
          <w:tblHeader w:val="0"/>
        </w:trPr>
        <w:tc>
          <w:tcPr>
            <w:tcBorders>
              <w:top w:color="cccccc" w:space="0" w:sz="6" w:val="single"/>
              <w:left w:color="000000" w:space="0" w:sz="12"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1E">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Scope 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1F">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1,393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20">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1,255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21">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1,352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22">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1,339</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23">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1,496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24">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1,604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25">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1,856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26">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781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27">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832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28">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930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29">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875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2A">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822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2B">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914</w:t>
            </w: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12C">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979</w:t>
            </w:r>
            <w:r w:rsidDel="00000000" w:rsidR="00000000" w:rsidRPr="00000000">
              <w:rPr>
                <w:rtl w:val="0"/>
              </w:rPr>
            </w:r>
          </w:p>
        </w:tc>
        <w:tc>
          <w:tcPr>
            <w:tcBorders>
              <w:top w:color="000000" w:space="0" w:sz="6" w:val="single"/>
              <w:left w:color="000000" w:space="0" w:sz="12" w:val="single"/>
              <w:bottom w:color="000000" w:space="0" w:sz="6"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12D">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1,025</w:t>
            </w:r>
            <w:r w:rsidDel="00000000" w:rsidR="00000000" w:rsidRPr="00000000">
              <w:rPr>
                <w:rtl w:val="0"/>
              </w:rPr>
            </w:r>
          </w:p>
        </w:tc>
        <w:tc>
          <w:tcPr>
            <w:tcBorders>
              <w:top w:color="cccccc" w:space="0" w:sz="6" w:val="single"/>
              <w:left w:color="cccccc" w:space="0" w:sz="6" w:val="single"/>
              <w:bottom w:color="000000" w:space="0" w:sz="6" w:val="single"/>
              <w:right w:color="000000" w:space="0" w:sz="12" w:val="single"/>
            </w:tcBorders>
            <w:shd w:fill="ccff66" w:val="clear"/>
            <w:tcMar>
              <w:top w:w="0.0" w:type="dxa"/>
              <w:left w:w="40.0" w:type="dxa"/>
              <w:bottom w:w="0.0" w:type="dxa"/>
              <w:right w:w="40.0" w:type="dxa"/>
            </w:tcMar>
            <w:vAlign w:val="center"/>
          </w:tcPr>
          <w:p w:rsidR="00000000" w:rsidDel="00000000" w:rsidP="00000000" w:rsidRDefault="00000000" w:rsidRPr="00000000" w14:paraId="0000012E">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1,010</w:t>
            </w:r>
            <w:r w:rsidDel="00000000" w:rsidR="00000000" w:rsidRPr="00000000">
              <w:rPr>
                <w:rtl w:val="0"/>
              </w:rPr>
            </w:r>
          </w:p>
        </w:tc>
      </w:tr>
      <w:tr>
        <w:trPr>
          <w:cantSplit w:val="0"/>
          <w:trHeight w:val="621.7741935483871" w:hRule="atLeast"/>
          <w:tblHeader w:val="0"/>
        </w:trPr>
        <w:tc>
          <w:tcPr>
            <w:tcBorders>
              <w:top w:color="cccccc" w:space="0" w:sz="6" w:val="single"/>
              <w:left w:color="000000" w:space="0" w:sz="12"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2F">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Outside of Scope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30">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61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31">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41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32">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62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33">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45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34">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37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35">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25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36">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30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37">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38">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39">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3A">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3B">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22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3C">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6</w:t>
            </w: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13D">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28</w:t>
            </w:r>
            <w:r w:rsidDel="00000000" w:rsidR="00000000" w:rsidRPr="00000000">
              <w:rPr>
                <w:rtl w:val="0"/>
              </w:rPr>
            </w:r>
          </w:p>
        </w:tc>
        <w:tc>
          <w:tcPr>
            <w:tcBorders>
              <w:top w:color="cccccc" w:space="0" w:sz="6" w:val="single"/>
              <w:left w:color="cccccc" w:space="0" w:sz="6" w:val="single"/>
              <w:bottom w:color="000000" w:space="0" w:sz="6"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13E">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6</w:t>
            </w:r>
            <w:r w:rsidDel="00000000" w:rsidR="00000000" w:rsidRPr="00000000">
              <w:rPr>
                <w:rtl w:val="0"/>
              </w:rPr>
            </w:r>
          </w:p>
        </w:tc>
        <w:tc>
          <w:tcPr>
            <w:tcBorders>
              <w:top w:color="cccccc" w:space="0" w:sz="6" w:val="single"/>
              <w:left w:color="cccccc" w:space="0" w:sz="6" w:val="single"/>
              <w:bottom w:color="000000" w:space="0" w:sz="6" w:val="single"/>
              <w:right w:color="000000" w:space="0" w:sz="12" w:val="single"/>
            </w:tcBorders>
            <w:shd w:fill="ccff66" w:val="clear"/>
            <w:tcMar>
              <w:top w:w="0.0" w:type="dxa"/>
              <w:left w:w="40.0" w:type="dxa"/>
              <w:bottom w:w="0.0" w:type="dxa"/>
              <w:right w:w="40.0" w:type="dxa"/>
            </w:tcMar>
            <w:vAlign w:val="center"/>
          </w:tcPr>
          <w:p w:rsidR="00000000" w:rsidDel="00000000" w:rsidP="00000000" w:rsidRDefault="00000000" w:rsidRPr="00000000" w14:paraId="0000013F">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6</w:t>
            </w:r>
            <w:r w:rsidDel="00000000" w:rsidR="00000000" w:rsidRPr="00000000">
              <w:rPr>
                <w:rtl w:val="0"/>
              </w:rPr>
            </w:r>
          </w:p>
        </w:tc>
      </w:tr>
      <w:tr>
        <w:trPr>
          <w:cantSplit w:val="0"/>
          <w:trHeight w:val="855" w:hRule="atLeast"/>
          <w:tblHeader w:val="0"/>
        </w:trPr>
        <w:tc>
          <w:tcPr>
            <w:tcBorders>
              <w:top w:color="cccccc" w:space="0" w:sz="6" w:val="single"/>
              <w:left w:color="000000" w:space="0" w:sz="12" w:val="single"/>
              <w:bottom w:color="000000" w:space="0" w:sz="6" w:val="single"/>
              <w:right w:color="000000" w:space="0" w:sz="6" w:val="single"/>
            </w:tcBorders>
            <w:shd w:fill="ccff66" w:val="clear"/>
            <w:tcMar>
              <w:top w:w="0.0" w:type="dxa"/>
              <w:left w:w="40.0" w:type="dxa"/>
              <w:bottom w:w="0.0" w:type="dxa"/>
              <w:right w:w="40.0" w:type="dxa"/>
            </w:tcMar>
            <w:vAlign w:val="center"/>
          </w:tcPr>
          <w:p w:rsidR="00000000" w:rsidDel="00000000" w:rsidP="00000000" w:rsidRDefault="00000000" w:rsidRPr="00000000" w14:paraId="00000140">
            <w:pPr>
              <w:widowControl w:val="0"/>
              <w:spacing w:line="276" w:lineRule="auto"/>
              <w:rPr>
                <w:rFonts w:ascii="Calibri" w:cs="Calibri" w:eastAsia="Calibri" w:hAnsi="Calibri"/>
              </w:rPr>
            </w:pPr>
            <w:r w:rsidDel="00000000" w:rsidR="00000000" w:rsidRPr="00000000">
              <w:rPr>
                <w:rFonts w:ascii="Helvetica" w:cs="Helvetica" w:eastAsia="Helvetica" w:hAnsi="Helvetica"/>
                <w:b w:val="1"/>
                <w:sz w:val="22"/>
                <w:szCs w:val="22"/>
                <w:rtl w:val="0"/>
              </w:rPr>
              <w:t xml:space="preserve">Gross emissions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cff66" w:val="clear"/>
            <w:tcMar>
              <w:top w:w="0.0" w:type="dxa"/>
              <w:left w:w="40.0" w:type="dxa"/>
              <w:bottom w:w="0.0" w:type="dxa"/>
              <w:right w:w="40.0" w:type="dxa"/>
            </w:tcMar>
            <w:vAlign w:val="center"/>
          </w:tcPr>
          <w:p w:rsidR="00000000" w:rsidDel="00000000" w:rsidP="00000000" w:rsidRDefault="00000000" w:rsidRPr="00000000" w14:paraId="00000141">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7,444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cff66" w:val="clear"/>
            <w:tcMar>
              <w:top w:w="0.0" w:type="dxa"/>
              <w:left w:w="40.0" w:type="dxa"/>
              <w:bottom w:w="0.0" w:type="dxa"/>
              <w:right w:w="40.0" w:type="dxa"/>
            </w:tcMar>
            <w:vAlign w:val="center"/>
          </w:tcPr>
          <w:p w:rsidR="00000000" w:rsidDel="00000000" w:rsidP="00000000" w:rsidRDefault="00000000" w:rsidRPr="00000000" w14:paraId="00000142">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7,315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cff66" w:val="clear"/>
            <w:tcMar>
              <w:top w:w="0.0" w:type="dxa"/>
              <w:left w:w="40.0" w:type="dxa"/>
              <w:bottom w:w="0.0" w:type="dxa"/>
              <w:right w:w="40.0" w:type="dxa"/>
            </w:tcMar>
            <w:vAlign w:val="center"/>
          </w:tcPr>
          <w:p w:rsidR="00000000" w:rsidDel="00000000" w:rsidP="00000000" w:rsidRDefault="00000000" w:rsidRPr="00000000" w14:paraId="00000143">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7,676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cff66" w:val="clear"/>
            <w:tcMar>
              <w:top w:w="0.0" w:type="dxa"/>
              <w:left w:w="40.0" w:type="dxa"/>
              <w:bottom w:w="0.0" w:type="dxa"/>
              <w:right w:w="40.0" w:type="dxa"/>
            </w:tcMar>
            <w:vAlign w:val="center"/>
          </w:tcPr>
          <w:p w:rsidR="00000000" w:rsidDel="00000000" w:rsidP="00000000" w:rsidRDefault="00000000" w:rsidRPr="00000000" w14:paraId="00000144">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7,415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cff66" w:val="clear"/>
            <w:tcMar>
              <w:top w:w="0.0" w:type="dxa"/>
              <w:left w:w="40.0" w:type="dxa"/>
              <w:bottom w:w="0.0" w:type="dxa"/>
              <w:right w:w="40.0" w:type="dxa"/>
            </w:tcMar>
            <w:vAlign w:val="center"/>
          </w:tcPr>
          <w:p w:rsidR="00000000" w:rsidDel="00000000" w:rsidP="00000000" w:rsidRDefault="00000000" w:rsidRPr="00000000" w14:paraId="00000145">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8,888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cff66" w:val="clear"/>
            <w:tcMar>
              <w:top w:w="0.0" w:type="dxa"/>
              <w:left w:w="40.0" w:type="dxa"/>
              <w:bottom w:w="0.0" w:type="dxa"/>
              <w:right w:w="40.0" w:type="dxa"/>
            </w:tcMar>
            <w:vAlign w:val="center"/>
          </w:tcPr>
          <w:p w:rsidR="00000000" w:rsidDel="00000000" w:rsidP="00000000" w:rsidRDefault="00000000" w:rsidRPr="00000000" w14:paraId="00000146">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9,602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cff66" w:val="clear"/>
            <w:tcMar>
              <w:top w:w="0.0" w:type="dxa"/>
              <w:left w:w="40.0" w:type="dxa"/>
              <w:bottom w:w="0.0" w:type="dxa"/>
              <w:right w:w="40.0" w:type="dxa"/>
            </w:tcMar>
            <w:vAlign w:val="center"/>
          </w:tcPr>
          <w:p w:rsidR="00000000" w:rsidDel="00000000" w:rsidP="00000000" w:rsidRDefault="00000000" w:rsidRPr="00000000" w14:paraId="00000147">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11,081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cff66" w:val="clear"/>
            <w:tcMar>
              <w:top w:w="0.0" w:type="dxa"/>
              <w:left w:w="40.0" w:type="dxa"/>
              <w:bottom w:w="0.0" w:type="dxa"/>
              <w:right w:w="40.0" w:type="dxa"/>
            </w:tcMar>
            <w:vAlign w:val="center"/>
          </w:tcPr>
          <w:p w:rsidR="00000000" w:rsidDel="00000000" w:rsidP="00000000" w:rsidRDefault="00000000" w:rsidRPr="00000000" w14:paraId="00000148">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12,285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cff66" w:val="clear"/>
            <w:tcMar>
              <w:top w:w="0.0" w:type="dxa"/>
              <w:left w:w="40.0" w:type="dxa"/>
              <w:bottom w:w="0.0" w:type="dxa"/>
              <w:right w:w="40.0" w:type="dxa"/>
            </w:tcMar>
            <w:vAlign w:val="center"/>
          </w:tcPr>
          <w:p w:rsidR="00000000" w:rsidDel="00000000" w:rsidP="00000000" w:rsidRDefault="00000000" w:rsidRPr="00000000" w14:paraId="00000149">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13,860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cff66" w:val="clear"/>
            <w:tcMar>
              <w:top w:w="0.0" w:type="dxa"/>
              <w:left w:w="40.0" w:type="dxa"/>
              <w:bottom w:w="0.0" w:type="dxa"/>
              <w:right w:w="40.0" w:type="dxa"/>
            </w:tcMar>
            <w:vAlign w:val="center"/>
          </w:tcPr>
          <w:p w:rsidR="00000000" w:rsidDel="00000000" w:rsidP="00000000" w:rsidRDefault="00000000" w:rsidRPr="00000000" w14:paraId="0000014A">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14,597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cff66" w:val="clear"/>
            <w:tcMar>
              <w:top w:w="0.0" w:type="dxa"/>
              <w:left w:w="40.0" w:type="dxa"/>
              <w:bottom w:w="0.0" w:type="dxa"/>
              <w:right w:w="40.0" w:type="dxa"/>
            </w:tcMar>
            <w:vAlign w:val="center"/>
          </w:tcPr>
          <w:p w:rsidR="00000000" w:rsidDel="00000000" w:rsidP="00000000" w:rsidRDefault="00000000" w:rsidRPr="00000000" w14:paraId="0000014B">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14,030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cff66" w:val="clear"/>
            <w:tcMar>
              <w:top w:w="0.0" w:type="dxa"/>
              <w:left w:w="40.0" w:type="dxa"/>
              <w:bottom w:w="0.0" w:type="dxa"/>
              <w:right w:w="40.0" w:type="dxa"/>
            </w:tcMar>
            <w:vAlign w:val="center"/>
          </w:tcPr>
          <w:p w:rsidR="00000000" w:rsidDel="00000000" w:rsidP="00000000" w:rsidRDefault="00000000" w:rsidRPr="00000000" w14:paraId="0000014C">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14,204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cff66" w:val="clear"/>
            <w:tcMar>
              <w:top w:w="0.0" w:type="dxa"/>
              <w:left w:w="40.0" w:type="dxa"/>
              <w:bottom w:w="0.0" w:type="dxa"/>
              <w:right w:w="40.0" w:type="dxa"/>
            </w:tcMar>
            <w:vAlign w:val="center"/>
          </w:tcPr>
          <w:p w:rsidR="00000000" w:rsidDel="00000000" w:rsidP="00000000" w:rsidRDefault="00000000" w:rsidRPr="00000000" w14:paraId="0000014D">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13,762</w:t>
            </w: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shd w:fill="ccff66" w:val="clear"/>
            <w:tcMar>
              <w:top w:w="0.0" w:type="dxa"/>
              <w:left w:w="40.0" w:type="dxa"/>
              <w:bottom w:w="0.0" w:type="dxa"/>
              <w:right w:w="40.0" w:type="dxa"/>
            </w:tcMar>
            <w:vAlign w:val="center"/>
          </w:tcPr>
          <w:p w:rsidR="00000000" w:rsidDel="00000000" w:rsidP="00000000" w:rsidRDefault="00000000" w:rsidRPr="00000000" w14:paraId="0000014E">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15,968</w:t>
            </w:r>
            <w:r w:rsidDel="00000000" w:rsidR="00000000" w:rsidRPr="00000000">
              <w:rPr>
                <w:rtl w:val="0"/>
              </w:rPr>
            </w:r>
          </w:p>
        </w:tc>
        <w:tc>
          <w:tcPr>
            <w:tcBorders>
              <w:top w:color="000000" w:space="0" w:sz="6" w:val="single"/>
              <w:left w:color="000000" w:space="0" w:sz="12" w:val="single"/>
              <w:bottom w:color="000000" w:space="0" w:sz="6" w:val="single"/>
              <w:right w:color="000000" w:space="0" w:sz="12" w:val="single"/>
            </w:tcBorders>
            <w:shd w:fill="ccff66" w:val="clear"/>
            <w:tcMar>
              <w:top w:w="0.0" w:type="dxa"/>
              <w:left w:w="40.0" w:type="dxa"/>
              <w:bottom w:w="0.0" w:type="dxa"/>
              <w:right w:w="40.0" w:type="dxa"/>
            </w:tcMar>
            <w:vAlign w:val="center"/>
          </w:tcPr>
          <w:p w:rsidR="00000000" w:rsidDel="00000000" w:rsidP="00000000" w:rsidRDefault="00000000" w:rsidRPr="00000000" w14:paraId="0000014F">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16,580</w:t>
            </w:r>
            <w:r w:rsidDel="00000000" w:rsidR="00000000" w:rsidRPr="00000000">
              <w:rPr>
                <w:rtl w:val="0"/>
              </w:rPr>
            </w:r>
          </w:p>
        </w:tc>
        <w:tc>
          <w:tcPr>
            <w:tcBorders>
              <w:top w:color="cccccc" w:space="0" w:sz="6" w:val="single"/>
              <w:left w:color="cccccc" w:space="0" w:sz="6" w:val="single"/>
              <w:bottom w:color="000000" w:space="0" w:sz="6" w:val="single"/>
              <w:right w:color="000000" w:space="0" w:sz="12" w:val="single"/>
            </w:tcBorders>
            <w:shd w:fill="ccff66" w:val="clear"/>
            <w:tcMar>
              <w:top w:w="0.0" w:type="dxa"/>
              <w:left w:w="40.0" w:type="dxa"/>
              <w:bottom w:w="0.0" w:type="dxa"/>
              <w:right w:w="40.0" w:type="dxa"/>
            </w:tcMar>
            <w:vAlign w:val="center"/>
          </w:tcPr>
          <w:p w:rsidR="00000000" w:rsidDel="00000000" w:rsidP="00000000" w:rsidRDefault="00000000" w:rsidRPr="00000000" w14:paraId="00000150">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17,123</w:t>
            </w:r>
            <w:r w:rsidDel="00000000" w:rsidR="00000000" w:rsidRPr="00000000">
              <w:rPr>
                <w:rtl w:val="0"/>
              </w:rPr>
            </w:r>
          </w:p>
        </w:tc>
      </w:tr>
      <w:tr>
        <w:trPr>
          <w:cantSplit w:val="0"/>
          <w:trHeight w:val="1065" w:hRule="atLeast"/>
          <w:tblHeader w:val="0"/>
        </w:trPr>
        <w:tc>
          <w:tcPr>
            <w:tcBorders>
              <w:top w:color="cccccc" w:space="0" w:sz="6" w:val="single"/>
              <w:left w:color="000000" w:space="0" w:sz="12" w:val="single"/>
              <w:bottom w:color="000000" w:space="0" w:sz="12"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51">
            <w:pPr>
              <w:widowControl w:val="0"/>
              <w:spacing w:line="276" w:lineRule="auto"/>
              <w:jc w:val="center"/>
              <w:rPr>
                <w:rFonts w:ascii="Calibri" w:cs="Calibri" w:eastAsia="Calibri" w:hAnsi="Calibri"/>
                <w:sz w:val="22"/>
                <w:szCs w:val="22"/>
              </w:rPr>
            </w:pPr>
            <w:r w:rsidDel="00000000" w:rsidR="00000000" w:rsidRPr="00000000">
              <w:rPr>
                <w:rFonts w:ascii="Helvetica" w:cs="Helvetica" w:eastAsia="Helvetica" w:hAnsi="Helvetica"/>
                <w:sz w:val="20"/>
                <w:szCs w:val="20"/>
                <w:rtl w:val="0"/>
              </w:rPr>
              <w:t xml:space="preserve">Kg of CO2e per sq m of GIA</w:t>
            </w:r>
            <w:r w:rsidDel="00000000" w:rsidR="00000000" w:rsidRPr="00000000">
              <w:rPr>
                <w:rtl w:val="0"/>
              </w:rPr>
            </w:r>
          </w:p>
        </w:tc>
        <w:tc>
          <w:tcPr>
            <w:tcBorders>
              <w:top w:color="000000" w:space="0" w:sz="6" w:val="single"/>
              <w:left w:color="000000" w:space="0" w:sz="6" w:val="single"/>
              <w:bottom w:color="000000" w:space="0" w:sz="12"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52">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31</w:t>
            </w:r>
            <w:r w:rsidDel="00000000" w:rsidR="00000000" w:rsidRPr="00000000">
              <w:rPr>
                <w:rtl w:val="0"/>
              </w:rPr>
            </w:r>
          </w:p>
        </w:tc>
        <w:tc>
          <w:tcPr>
            <w:tcBorders>
              <w:top w:color="000000" w:space="0" w:sz="6" w:val="single"/>
              <w:left w:color="000000" w:space="0" w:sz="6" w:val="single"/>
              <w:bottom w:color="000000" w:space="0" w:sz="12"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53">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31</w:t>
            </w:r>
            <w:r w:rsidDel="00000000" w:rsidR="00000000" w:rsidRPr="00000000">
              <w:rPr>
                <w:rtl w:val="0"/>
              </w:rPr>
            </w:r>
          </w:p>
        </w:tc>
        <w:tc>
          <w:tcPr>
            <w:tcBorders>
              <w:top w:color="000000" w:space="0" w:sz="6" w:val="single"/>
              <w:left w:color="000000" w:space="0" w:sz="6" w:val="single"/>
              <w:bottom w:color="000000" w:space="0" w:sz="12"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54">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32</w:t>
            </w:r>
            <w:r w:rsidDel="00000000" w:rsidR="00000000" w:rsidRPr="00000000">
              <w:rPr>
                <w:rtl w:val="0"/>
              </w:rPr>
            </w:r>
          </w:p>
        </w:tc>
        <w:tc>
          <w:tcPr>
            <w:tcBorders>
              <w:top w:color="000000" w:space="0" w:sz="6" w:val="single"/>
              <w:left w:color="000000" w:space="0" w:sz="6" w:val="single"/>
              <w:bottom w:color="000000" w:space="0" w:sz="12"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55">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31</w:t>
            </w:r>
            <w:r w:rsidDel="00000000" w:rsidR="00000000" w:rsidRPr="00000000">
              <w:rPr>
                <w:rtl w:val="0"/>
              </w:rPr>
            </w:r>
          </w:p>
        </w:tc>
        <w:tc>
          <w:tcPr>
            <w:tcBorders>
              <w:top w:color="000000" w:space="0" w:sz="6" w:val="single"/>
              <w:left w:color="000000" w:space="0" w:sz="6" w:val="single"/>
              <w:bottom w:color="000000" w:space="0" w:sz="12"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56">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38</w:t>
            </w:r>
            <w:r w:rsidDel="00000000" w:rsidR="00000000" w:rsidRPr="00000000">
              <w:rPr>
                <w:rtl w:val="0"/>
              </w:rPr>
            </w:r>
          </w:p>
        </w:tc>
        <w:tc>
          <w:tcPr>
            <w:tcBorders>
              <w:top w:color="000000" w:space="0" w:sz="6" w:val="single"/>
              <w:left w:color="000000" w:space="0" w:sz="6" w:val="single"/>
              <w:bottom w:color="000000" w:space="0" w:sz="12"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57">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41</w:t>
            </w:r>
            <w:r w:rsidDel="00000000" w:rsidR="00000000" w:rsidRPr="00000000">
              <w:rPr>
                <w:rtl w:val="0"/>
              </w:rPr>
            </w:r>
          </w:p>
        </w:tc>
        <w:tc>
          <w:tcPr>
            <w:tcBorders>
              <w:top w:color="000000" w:space="0" w:sz="6" w:val="single"/>
              <w:left w:color="000000" w:space="0" w:sz="6" w:val="single"/>
              <w:bottom w:color="000000" w:space="0" w:sz="12"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58">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45</w:t>
            </w:r>
            <w:r w:rsidDel="00000000" w:rsidR="00000000" w:rsidRPr="00000000">
              <w:rPr>
                <w:rtl w:val="0"/>
              </w:rPr>
            </w:r>
          </w:p>
        </w:tc>
        <w:tc>
          <w:tcPr>
            <w:tcBorders>
              <w:top w:color="000000" w:space="0" w:sz="6" w:val="single"/>
              <w:left w:color="000000" w:space="0" w:sz="6" w:val="single"/>
              <w:bottom w:color="000000" w:space="0" w:sz="12"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59">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53</w:t>
            </w:r>
            <w:r w:rsidDel="00000000" w:rsidR="00000000" w:rsidRPr="00000000">
              <w:rPr>
                <w:rtl w:val="0"/>
              </w:rPr>
            </w:r>
          </w:p>
        </w:tc>
        <w:tc>
          <w:tcPr>
            <w:tcBorders>
              <w:top w:color="000000" w:space="0" w:sz="6" w:val="single"/>
              <w:left w:color="000000" w:space="0" w:sz="6" w:val="single"/>
              <w:bottom w:color="000000" w:space="0" w:sz="12"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5A">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60</w:t>
            </w:r>
            <w:r w:rsidDel="00000000" w:rsidR="00000000" w:rsidRPr="00000000">
              <w:rPr>
                <w:rtl w:val="0"/>
              </w:rPr>
            </w:r>
          </w:p>
        </w:tc>
        <w:tc>
          <w:tcPr>
            <w:tcBorders>
              <w:top w:color="000000" w:space="0" w:sz="6" w:val="single"/>
              <w:left w:color="000000" w:space="0" w:sz="6" w:val="single"/>
              <w:bottom w:color="000000" w:space="0" w:sz="12"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5B">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63</w:t>
            </w:r>
            <w:r w:rsidDel="00000000" w:rsidR="00000000" w:rsidRPr="00000000">
              <w:rPr>
                <w:rtl w:val="0"/>
              </w:rPr>
            </w:r>
          </w:p>
        </w:tc>
        <w:tc>
          <w:tcPr>
            <w:tcBorders>
              <w:top w:color="000000" w:space="0" w:sz="6" w:val="single"/>
              <w:left w:color="000000" w:space="0" w:sz="6" w:val="single"/>
              <w:bottom w:color="000000" w:space="0" w:sz="12"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5C">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59</w:t>
            </w:r>
            <w:r w:rsidDel="00000000" w:rsidR="00000000" w:rsidRPr="00000000">
              <w:rPr>
                <w:rtl w:val="0"/>
              </w:rPr>
            </w:r>
          </w:p>
        </w:tc>
        <w:tc>
          <w:tcPr>
            <w:tcBorders>
              <w:top w:color="000000" w:space="0" w:sz="6" w:val="single"/>
              <w:left w:color="000000" w:space="0" w:sz="6" w:val="single"/>
              <w:bottom w:color="000000" w:space="0" w:sz="12"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5D">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59</w:t>
            </w:r>
            <w:r w:rsidDel="00000000" w:rsidR="00000000" w:rsidRPr="00000000">
              <w:rPr>
                <w:rtl w:val="0"/>
              </w:rPr>
            </w:r>
          </w:p>
        </w:tc>
        <w:tc>
          <w:tcPr>
            <w:tcBorders>
              <w:top w:color="000000" w:space="0" w:sz="6" w:val="single"/>
              <w:left w:color="000000" w:space="0" w:sz="6" w:val="single"/>
              <w:bottom w:color="000000" w:space="0" w:sz="12"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15E">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56</w:t>
            </w:r>
            <w:r w:rsidDel="00000000" w:rsidR="00000000" w:rsidRPr="00000000">
              <w:rPr>
                <w:rtl w:val="0"/>
              </w:rPr>
            </w:r>
          </w:p>
        </w:tc>
        <w:tc>
          <w:tcPr>
            <w:tcBorders>
              <w:top w:color="000000" w:space="0" w:sz="6" w:val="single"/>
              <w:left w:color="000000" w:space="0" w:sz="6"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15F">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65</w:t>
            </w:r>
            <w:r w:rsidDel="00000000" w:rsidR="00000000" w:rsidRPr="00000000">
              <w:rPr>
                <w:rtl w:val="0"/>
              </w:rPr>
            </w:r>
          </w:p>
        </w:tc>
        <w:tc>
          <w:tcPr>
            <w:tcBorders>
              <w:top w:color="000000" w:space="0" w:sz="6" w:val="single"/>
              <w:left w:color="000000" w:space="0" w:sz="12"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160">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69</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ccff66" w:val="clear"/>
            <w:tcMar>
              <w:top w:w="0.0" w:type="dxa"/>
              <w:left w:w="40.0" w:type="dxa"/>
              <w:bottom w:w="0.0" w:type="dxa"/>
              <w:right w:w="40.0" w:type="dxa"/>
            </w:tcMar>
            <w:vAlign w:val="center"/>
          </w:tcPr>
          <w:p w:rsidR="00000000" w:rsidDel="00000000" w:rsidP="00000000" w:rsidRDefault="00000000" w:rsidRPr="00000000" w14:paraId="00000161">
            <w:pPr>
              <w:widowControl w:val="0"/>
              <w:spacing w:line="276" w:lineRule="auto"/>
              <w:jc w:val="center"/>
              <w:rPr>
                <w:rFonts w:ascii="Calibri" w:cs="Calibri" w:eastAsia="Calibri" w:hAnsi="Calibri"/>
              </w:rPr>
            </w:pPr>
            <w:r w:rsidDel="00000000" w:rsidR="00000000" w:rsidRPr="00000000">
              <w:rPr>
                <w:rFonts w:ascii="Helvetica" w:cs="Helvetica" w:eastAsia="Helvetica" w:hAnsi="Helvetica"/>
                <w:sz w:val="22"/>
                <w:szCs w:val="22"/>
                <w:rtl w:val="0"/>
              </w:rPr>
              <w:t xml:space="preserve">71</w:t>
            </w:r>
            <w:r w:rsidDel="00000000" w:rsidR="00000000" w:rsidRPr="00000000">
              <w:rPr>
                <w:rtl w:val="0"/>
              </w:rPr>
            </w:r>
          </w:p>
        </w:tc>
      </w:tr>
    </w:tbl>
    <w:p w:rsidR="00000000" w:rsidDel="00000000" w:rsidP="00000000" w:rsidRDefault="00000000" w:rsidRPr="00000000" w14:paraId="00000162">
      <w:pPr>
        <w:pageBreakBefore w:val="0"/>
        <w:spacing w:line="360" w:lineRule="auto"/>
        <w:ind w:left="720" w:firstLine="0"/>
        <w:rPr>
          <w:rFonts w:ascii="Helvetica" w:cs="Helvetica" w:eastAsia="Helvetica" w:hAnsi="Helvetica"/>
          <w:b w:val="1"/>
          <w:sz w:val="18"/>
          <w:szCs w:val="18"/>
        </w:rPr>
        <w:sectPr>
          <w:type w:val="nextPage"/>
          <w:pgSz w:h="11906" w:w="16838" w:orient="landscape"/>
          <w:pgMar w:bottom="1134" w:top="1361" w:left="1797" w:right="1710" w:header="0" w:footer="720"/>
        </w:sectPr>
      </w:pPr>
      <w:r w:rsidDel="00000000" w:rsidR="00000000" w:rsidRPr="00000000">
        <w:rPr>
          <w:rtl w:val="0"/>
        </w:rPr>
      </w:r>
    </w:p>
    <w:bookmarkStart w:colFirst="0" w:colLast="0" w:name="3ebltxkfa4jg" w:id="34"/>
    <w:bookmarkEnd w:id="34"/>
    <w:p w:rsidR="00000000" w:rsidDel="00000000" w:rsidP="00000000" w:rsidRDefault="00000000" w:rsidRPr="00000000" w14:paraId="00000163">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100" w:before="0" w:line="360" w:lineRule="auto"/>
        <w:ind w:left="1440" w:right="0" w:hanging="360"/>
        <w:jc w:val="left"/>
        <w:rPr>
          <w:rFonts w:ascii="Helvetica" w:cs="Helvetica" w:eastAsia="Helvetica" w:hAnsi="Helvetica"/>
          <w:b w:val="1"/>
        </w:rPr>
      </w:pPr>
      <w:r w:rsidDel="00000000" w:rsidR="00000000" w:rsidRPr="00000000">
        <w:rPr>
          <w:rFonts w:ascii="Helvetica" w:cs="Helvetica" w:eastAsia="Helvetica" w:hAnsi="Helvetica"/>
          <w:b w:val="1"/>
          <w:rtl w:val="0"/>
        </w:rPr>
        <w:t xml:space="preserve">Data Explanations</w:t>
      </w:r>
      <w:r w:rsidDel="00000000" w:rsidR="00000000" w:rsidRPr="00000000">
        <w:rPr>
          <w:rtl w:val="0"/>
        </w:rPr>
      </w:r>
    </w:p>
    <w:p w:rsidR="00000000" w:rsidDel="00000000" w:rsidP="00000000" w:rsidRDefault="00000000" w:rsidRPr="00000000" w14:paraId="00000164">
      <w:pPr>
        <w:pageBreakBefore w:val="0"/>
        <w:spacing w:before="200" w:lineRule="auto"/>
        <w:jc w:val="both"/>
        <w:rPr>
          <w:rFonts w:ascii="Helvetica" w:cs="Helvetica" w:eastAsia="Helvetica" w:hAnsi="Helvetica"/>
          <w:highlight w:val="white"/>
        </w:rPr>
      </w:pPr>
      <w:r w:rsidDel="00000000" w:rsidR="00000000" w:rsidRPr="00000000">
        <w:rPr>
          <w:rFonts w:ascii="Helvetica" w:cs="Helvetica" w:eastAsia="Helvetica" w:hAnsi="Helvetica"/>
          <w:highlight w:val="white"/>
          <w:rtl w:val="0"/>
        </w:rPr>
        <w:t xml:space="preserve">When compared to the base year, consumption of gas (scope 1) decreased across the estate by 31% in total, resulting in a 34% reduction in GHG emissions. Maintained schools reduced their emissions by 45% and corporate buildings decreased by 21%.</w:t>
      </w:r>
    </w:p>
    <w:p w:rsidR="00000000" w:rsidDel="00000000" w:rsidP="00000000" w:rsidRDefault="00000000" w:rsidRPr="00000000" w14:paraId="00000165">
      <w:pPr>
        <w:pageBreakBefore w:val="0"/>
        <w:spacing w:before="200" w:line="276" w:lineRule="auto"/>
        <w:jc w:val="both"/>
        <w:rPr>
          <w:rFonts w:ascii="Helvetica" w:cs="Helvetica" w:eastAsia="Helvetica" w:hAnsi="Helvetica"/>
          <w:highlight w:val="white"/>
        </w:rPr>
      </w:pPr>
      <w:r w:rsidDel="00000000" w:rsidR="00000000" w:rsidRPr="00000000">
        <w:rPr>
          <w:rFonts w:ascii="Helvetica" w:cs="Helvetica" w:eastAsia="Helvetica" w:hAnsi="Helvetica"/>
          <w:highlight w:val="white"/>
          <w:rtl w:val="0"/>
        </w:rPr>
        <w:t xml:space="preserve">Emissions from owned transport (scope 1) have reduced by </w:t>
      </w:r>
      <w:r w:rsidDel="00000000" w:rsidR="00000000" w:rsidRPr="00000000">
        <w:rPr>
          <w:rFonts w:ascii="Helvetica" w:cs="Helvetica" w:eastAsia="Helvetica" w:hAnsi="Helvetica"/>
          <w:highlight w:val="white"/>
          <w:rtl w:val="0"/>
        </w:rPr>
        <w:t xml:space="preserve">98%.</w:t>
      </w:r>
      <w:r w:rsidDel="00000000" w:rsidR="00000000" w:rsidRPr="00000000">
        <w:rPr>
          <w:rFonts w:ascii="Helvetica" w:cs="Helvetica" w:eastAsia="Helvetica" w:hAnsi="Helvetica"/>
          <w:highlight w:val="white"/>
          <w:rtl w:val="0"/>
        </w:rPr>
        <w:t xml:space="preserve"> This follows the outsourcing of the Waste Collection and Street Cleansing (April 2017) and Parks Maintenance (February 2017) services. The emissions from fuel combustion generated by the contractors delivering these services are reported under scope 3.</w:t>
      </w:r>
    </w:p>
    <w:p w:rsidR="00000000" w:rsidDel="00000000" w:rsidP="00000000" w:rsidRDefault="00000000" w:rsidRPr="00000000" w14:paraId="00000166">
      <w:pPr>
        <w:pageBreakBefore w:val="0"/>
        <w:spacing w:before="200" w:lineRule="auto"/>
        <w:jc w:val="both"/>
        <w:rPr>
          <w:rFonts w:ascii="Helvetica" w:cs="Helvetica" w:eastAsia="Helvetica" w:hAnsi="Helvetica"/>
          <w:highlight w:val="white"/>
        </w:rPr>
      </w:pPr>
      <w:r w:rsidDel="00000000" w:rsidR="00000000" w:rsidRPr="00000000">
        <w:rPr>
          <w:rFonts w:ascii="Helvetica" w:cs="Helvetica" w:eastAsia="Helvetica" w:hAnsi="Helvetica"/>
          <w:highlight w:val="white"/>
          <w:rtl w:val="0"/>
        </w:rPr>
        <w:t xml:space="preserve">The CO</w:t>
      </w:r>
      <w:r w:rsidDel="00000000" w:rsidR="00000000" w:rsidRPr="00000000">
        <w:rPr>
          <w:rFonts w:ascii="Helvetica" w:cs="Helvetica" w:eastAsia="Helvetica" w:hAnsi="Helvetica"/>
          <w:highlight w:val="white"/>
          <w:vertAlign w:val="subscript"/>
          <w:rtl w:val="0"/>
        </w:rPr>
        <w:t xml:space="preserve">2</w:t>
      </w:r>
      <w:r w:rsidDel="00000000" w:rsidR="00000000" w:rsidRPr="00000000">
        <w:rPr>
          <w:rFonts w:ascii="Helvetica" w:cs="Helvetica" w:eastAsia="Helvetica" w:hAnsi="Helvetica"/>
          <w:highlight w:val="white"/>
          <w:rtl w:val="0"/>
        </w:rPr>
        <w:t xml:space="preserve">e factor</w:t>
      </w:r>
      <w:r w:rsidDel="00000000" w:rsidR="00000000" w:rsidRPr="00000000">
        <w:rPr>
          <w:rFonts w:ascii="Helvetica" w:cs="Helvetica" w:eastAsia="Helvetica" w:hAnsi="Helvetica"/>
          <w:highlight w:val="white"/>
          <w:rtl w:val="0"/>
        </w:rPr>
        <w:t xml:space="preserve"> for electricity has decreased by 58%</w:t>
      </w:r>
      <w:r w:rsidDel="00000000" w:rsidR="00000000" w:rsidRPr="00000000">
        <w:rPr>
          <w:rFonts w:ascii="Helvetica" w:cs="Helvetica" w:eastAsia="Helvetica" w:hAnsi="Helvetica"/>
          <w:highlight w:val="white"/>
          <w:vertAlign w:val="superscript"/>
        </w:rPr>
        <w:footnoteReference w:customMarkFollows="0" w:id="1"/>
      </w:r>
      <w:r w:rsidDel="00000000" w:rsidR="00000000" w:rsidRPr="00000000">
        <w:rPr>
          <w:rFonts w:ascii="Helvetica" w:cs="Helvetica" w:eastAsia="Helvetica" w:hAnsi="Helvetica"/>
          <w:highlight w:val="white"/>
          <w:rtl w:val="0"/>
        </w:rPr>
        <w:t xml:space="preserve"> when compared to the base year. This has enhanced the reduction in emissions from electricity consumption under scope </w:t>
      </w:r>
      <w:r w:rsidDel="00000000" w:rsidR="00000000" w:rsidRPr="00000000">
        <w:rPr>
          <w:rFonts w:ascii="Helvetica" w:cs="Helvetica" w:eastAsia="Helvetica" w:hAnsi="Helvetica"/>
          <w:highlight w:val="white"/>
          <w:rtl w:val="0"/>
        </w:rPr>
        <w:t xml:space="preserve">2. Street lighting and corporate buildings have reduced consumption by 32% since 2008 with a corresponding 72% reduction in emissions. </w:t>
      </w:r>
      <w:r w:rsidDel="00000000" w:rsidR="00000000" w:rsidRPr="00000000">
        <w:rPr>
          <w:rFonts w:ascii="Helvetica" w:cs="Helvetica" w:eastAsia="Helvetica" w:hAnsi="Helvetica"/>
          <w:highlight w:val="white"/>
          <w:rtl w:val="0"/>
        </w:rPr>
        <w:t xml:space="preserve">Consumption</w:t>
      </w:r>
      <w:r w:rsidDel="00000000" w:rsidR="00000000" w:rsidRPr="00000000">
        <w:rPr>
          <w:rFonts w:ascii="Helvetica" w:cs="Helvetica" w:eastAsia="Helvetica" w:hAnsi="Helvetica"/>
          <w:highlight w:val="white"/>
          <w:rtl w:val="0"/>
        </w:rPr>
        <w:t xml:space="preserve"> in schools has decreased by 4%, with a corresponding reduction in emissions of 60%.</w:t>
      </w:r>
    </w:p>
    <w:p w:rsidR="00000000" w:rsidDel="00000000" w:rsidP="00000000" w:rsidRDefault="00000000" w:rsidRPr="00000000" w14:paraId="00000167">
      <w:pPr>
        <w:pageBreakBefore w:val="0"/>
        <w:spacing w:before="200" w:lineRule="auto"/>
        <w:jc w:val="both"/>
        <w:rPr>
          <w:rFonts w:ascii="Helvetica" w:cs="Helvetica" w:eastAsia="Helvetica" w:hAnsi="Helvetica"/>
          <w:highlight w:val="white"/>
        </w:rPr>
      </w:pPr>
      <w:r w:rsidDel="00000000" w:rsidR="00000000" w:rsidRPr="00000000">
        <w:rPr>
          <w:rFonts w:ascii="Helvetica" w:cs="Helvetica" w:eastAsia="Helvetica" w:hAnsi="Helvetica"/>
          <w:highlight w:val="white"/>
          <w:rtl w:val="0"/>
        </w:rPr>
        <w:t xml:space="preserve">We have made some amendments to the reported results in prior years. In the first instance, a site had been omitted. Construction was completed in October 2010 but it was not added to the data set. This has now been rectified and we have updated the data for the years 2018 - 2022 to recognise this. </w:t>
      </w:r>
    </w:p>
    <w:p w:rsidR="00000000" w:rsidDel="00000000" w:rsidP="00000000" w:rsidRDefault="00000000" w:rsidRPr="00000000" w14:paraId="00000168">
      <w:pPr>
        <w:pageBreakBefore w:val="0"/>
        <w:spacing w:before="200" w:lineRule="auto"/>
        <w:jc w:val="both"/>
        <w:rPr>
          <w:rFonts w:ascii="Helvetica" w:cs="Helvetica" w:eastAsia="Helvetica" w:hAnsi="Helvetica"/>
          <w:highlight w:val="white"/>
        </w:rPr>
      </w:pPr>
      <w:r w:rsidDel="00000000" w:rsidR="00000000" w:rsidRPr="00000000">
        <w:rPr>
          <w:rFonts w:ascii="Helvetica" w:cs="Helvetica" w:eastAsia="Helvetica" w:hAnsi="Helvetica"/>
          <w:highlight w:val="white"/>
          <w:rtl w:val="0"/>
        </w:rPr>
        <w:t xml:space="preserve">In the second instance, we recognised an error in the electricity consumption for a single site in 2022. This has also been corrected.  </w:t>
      </w:r>
    </w:p>
    <w:p w:rsidR="00000000" w:rsidDel="00000000" w:rsidP="00000000" w:rsidRDefault="00000000" w:rsidRPr="00000000" w14:paraId="00000169">
      <w:pPr>
        <w:pageBreakBefore w:val="0"/>
        <w:spacing w:before="200" w:lineRule="auto"/>
        <w:jc w:val="both"/>
        <w:rPr>
          <w:rFonts w:ascii="Helvetica" w:cs="Helvetica" w:eastAsia="Helvetica" w:hAnsi="Helvetica"/>
          <w:highlight w:val="white"/>
        </w:rPr>
      </w:pPr>
      <w:r w:rsidDel="00000000" w:rsidR="00000000" w:rsidRPr="00000000">
        <w:rPr>
          <w:rFonts w:ascii="Helvetica" w:cs="Helvetica" w:eastAsia="Helvetica" w:hAnsi="Helvetica"/>
          <w:highlight w:val="white"/>
          <w:rtl w:val="0"/>
        </w:rPr>
        <w:t xml:space="preserve">The impact of these amendments has been an average of less than 1% increase to reported emissions each year under scope 1 and an average of 1.2% increase to reported emissions under Scope 2.</w:t>
      </w:r>
      <w:r w:rsidDel="00000000" w:rsidR="00000000" w:rsidRPr="00000000">
        <w:br w:type="page"/>
      </w:r>
      <w:r w:rsidDel="00000000" w:rsidR="00000000" w:rsidRPr="00000000">
        <w:rPr>
          <w:rtl w:val="0"/>
        </w:rPr>
      </w:r>
    </w:p>
    <w:p w:rsidR="00000000" w:rsidDel="00000000" w:rsidP="00000000" w:rsidRDefault="00000000" w:rsidRPr="00000000" w14:paraId="0000016A">
      <w:pPr>
        <w:pageBreakBefore w:val="0"/>
        <w:spacing w:before="200" w:lineRule="auto"/>
        <w:jc w:val="both"/>
        <w:rPr>
          <w:rFonts w:ascii="Helvetica" w:cs="Helvetica" w:eastAsia="Helvetica" w:hAnsi="Helvetica"/>
          <w:highlight w:val="white"/>
        </w:rPr>
      </w:pPr>
      <w:r w:rsidDel="00000000" w:rsidR="00000000" w:rsidRPr="00000000">
        <w:rPr>
          <w:rtl w:val="0"/>
        </w:rPr>
      </w:r>
    </w:p>
    <w:p w:rsidR="00000000" w:rsidDel="00000000" w:rsidP="00000000" w:rsidRDefault="00000000" w:rsidRPr="00000000" w14:paraId="0000016B">
      <w:pPr>
        <w:pageBreakBefore w:val="0"/>
        <w:ind w:left="0" w:firstLine="0"/>
        <w:rPr>
          <w:rFonts w:ascii="Helvetica" w:cs="Helvetica" w:eastAsia="Helvetica" w:hAnsi="Helvetica"/>
        </w:rPr>
      </w:pPr>
      <w:r w:rsidDel="00000000" w:rsidR="00000000" w:rsidRPr="00000000">
        <w:rPr>
          <w:rtl w:val="0"/>
        </w:rPr>
      </w:r>
    </w:p>
    <w:bookmarkStart w:colFirst="0" w:colLast="0" w:name="mbbwe3onfb7h" w:id="35"/>
    <w:bookmarkEnd w:id="35"/>
    <w:p w:rsidR="00000000" w:rsidDel="00000000" w:rsidP="00000000" w:rsidRDefault="00000000" w:rsidRPr="00000000" w14:paraId="0000016C">
      <w:pPr>
        <w:pStyle w:val="Heading2"/>
        <w:pageBreakBefore w:val="0"/>
        <w:numPr>
          <w:ilvl w:val="0"/>
          <w:numId w:val="5"/>
        </w:numPr>
        <w:spacing w:line="360" w:lineRule="auto"/>
        <w:ind w:left="720" w:hanging="360"/>
        <w:rPr/>
      </w:pPr>
      <w:bookmarkStart w:colFirst="0" w:colLast="0" w:name="_neare5fl84m6" w:id="36"/>
      <w:bookmarkEnd w:id="36"/>
      <w:r w:rsidDel="00000000" w:rsidR="00000000" w:rsidRPr="00000000">
        <w:rPr>
          <w:rtl w:val="0"/>
        </w:rPr>
        <w:t xml:space="preserve">Actions aimed at reducing consumption and emissions</w:t>
      </w:r>
    </w:p>
    <w:p w:rsidR="00000000" w:rsidDel="00000000" w:rsidP="00000000" w:rsidRDefault="00000000" w:rsidRPr="00000000" w14:paraId="0000016D">
      <w:pPr>
        <w:pageBreakBefore w:val="0"/>
        <w:spacing w:line="276" w:lineRule="auto"/>
        <w:jc w:val="both"/>
        <w:rPr>
          <w:rFonts w:ascii="Helvetica" w:cs="Helvetica" w:eastAsia="Helvetica" w:hAnsi="Helvetica"/>
          <w:highlight w:val="white"/>
        </w:rPr>
      </w:pPr>
      <w:r w:rsidDel="00000000" w:rsidR="00000000" w:rsidRPr="00000000">
        <w:rPr>
          <w:rFonts w:ascii="Helvetica" w:cs="Helvetica" w:eastAsia="Helvetica" w:hAnsi="Helvetica"/>
          <w:highlight w:val="white"/>
          <w:rtl w:val="0"/>
        </w:rPr>
        <w:t xml:space="preserve">Listed below are some of the projects completed during the year which have both energy and carbon saving benefits.  In some cases, as with the LED upgrades, the projects also have the further advantage of extending the operating life of the asset.</w:t>
      </w:r>
    </w:p>
    <w:p w:rsidR="00000000" w:rsidDel="00000000" w:rsidP="00000000" w:rsidRDefault="00000000" w:rsidRPr="00000000" w14:paraId="0000016E">
      <w:pPr>
        <w:pageBreakBefore w:val="0"/>
        <w:spacing w:line="276" w:lineRule="auto"/>
        <w:jc w:val="both"/>
        <w:rPr>
          <w:rFonts w:ascii="Helvetica" w:cs="Helvetica" w:eastAsia="Helvetica" w:hAnsi="Helvetica"/>
          <w:highlight w:val="white"/>
        </w:rPr>
      </w:pPr>
      <w:r w:rsidDel="00000000" w:rsidR="00000000" w:rsidRPr="00000000">
        <w:rPr>
          <w:rtl w:val="0"/>
        </w:rPr>
      </w:r>
    </w:p>
    <w:p w:rsidR="00000000" w:rsidDel="00000000" w:rsidP="00000000" w:rsidRDefault="00000000" w:rsidRPr="00000000" w14:paraId="0000016F">
      <w:pPr>
        <w:pageBreakBefore w:val="0"/>
        <w:numPr>
          <w:ilvl w:val="0"/>
          <w:numId w:val="1"/>
        </w:numPr>
        <w:spacing w:line="276" w:lineRule="auto"/>
        <w:ind w:left="720" w:hanging="360"/>
        <w:jc w:val="both"/>
        <w:rPr>
          <w:rFonts w:ascii="Helvetica" w:cs="Helvetica" w:eastAsia="Helvetica" w:hAnsi="Helvetica"/>
        </w:rPr>
      </w:pPr>
      <w:r w:rsidDel="00000000" w:rsidR="00000000" w:rsidRPr="00000000">
        <w:rPr>
          <w:rFonts w:ascii="Helvetica" w:cs="Helvetica" w:eastAsia="Helvetica" w:hAnsi="Helvetica"/>
          <w:highlight w:val="white"/>
          <w:rtl w:val="0"/>
        </w:rPr>
        <w:t xml:space="preserve">The decarbonisation of the corporate estate continued with lighting upgrade works at Cheam and Wallington Libraries. Further library lighting upgrades are planned at the Life Centre and at Worcester Park.</w:t>
      </w:r>
      <w:r w:rsidDel="00000000" w:rsidR="00000000" w:rsidRPr="00000000">
        <w:rPr>
          <w:rtl w:val="0"/>
        </w:rPr>
      </w:r>
    </w:p>
    <w:p w:rsidR="00000000" w:rsidDel="00000000" w:rsidP="00000000" w:rsidRDefault="00000000" w:rsidRPr="00000000" w14:paraId="00000170">
      <w:pPr>
        <w:pageBreakBefore w:val="0"/>
        <w:numPr>
          <w:ilvl w:val="0"/>
          <w:numId w:val="1"/>
        </w:numPr>
        <w:spacing w:line="276" w:lineRule="auto"/>
        <w:ind w:left="720" w:hanging="360"/>
        <w:jc w:val="both"/>
        <w:rPr>
          <w:rFonts w:ascii="Helvetica" w:cs="Helvetica" w:eastAsia="Helvetica" w:hAnsi="Helvetica"/>
        </w:rPr>
      </w:pPr>
      <w:r w:rsidDel="00000000" w:rsidR="00000000" w:rsidRPr="00000000">
        <w:rPr>
          <w:rFonts w:ascii="Helvetica" w:cs="Helvetica" w:eastAsia="Helvetica" w:hAnsi="Helvetica"/>
          <w:highlight w:val="white"/>
          <w:rtl w:val="0"/>
        </w:rPr>
        <w:t xml:space="preserve">The s</w:t>
      </w:r>
      <w:r w:rsidDel="00000000" w:rsidR="00000000" w:rsidRPr="00000000">
        <w:rPr>
          <w:rFonts w:ascii="Helvetica" w:cs="Helvetica" w:eastAsia="Helvetica" w:hAnsi="Helvetica"/>
          <w:highlight w:val="white"/>
          <w:rtl w:val="0"/>
        </w:rPr>
        <w:t xml:space="preserve">mart </w:t>
      </w:r>
      <w:r w:rsidDel="00000000" w:rsidR="00000000" w:rsidRPr="00000000">
        <w:rPr>
          <w:rFonts w:ascii="Helvetica" w:cs="Helvetica" w:eastAsia="Helvetica" w:hAnsi="Helvetica"/>
          <w:highlight w:val="white"/>
          <w:rtl w:val="0"/>
        </w:rPr>
        <w:t xml:space="preserve">meter</w:t>
      </w:r>
      <w:r w:rsidDel="00000000" w:rsidR="00000000" w:rsidRPr="00000000">
        <w:rPr>
          <w:rFonts w:ascii="Helvetica" w:cs="Helvetica" w:eastAsia="Helvetica" w:hAnsi="Helvetica"/>
          <w:highlight w:val="white"/>
          <w:rtl w:val="0"/>
        </w:rPr>
        <w:t xml:space="preserve"> program continues with 15  installations during the year 2023-24.</w:t>
      </w:r>
      <w:r w:rsidDel="00000000" w:rsidR="00000000" w:rsidRPr="00000000">
        <w:rPr>
          <w:rtl w:val="0"/>
        </w:rPr>
      </w:r>
    </w:p>
    <w:p w:rsidR="00000000" w:rsidDel="00000000" w:rsidP="00000000" w:rsidRDefault="00000000" w:rsidRPr="00000000" w14:paraId="00000171">
      <w:pPr>
        <w:pageBreakBefore w:val="0"/>
        <w:numPr>
          <w:ilvl w:val="0"/>
          <w:numId w:val="1"/>
        </w:numPr>
        <w:spacing w:line="276" w:lineRule="auto"/>
        <w:ind w:left="720" w:hanging="360"/>
        <w:jc w:val="both"/>
        <w:rPr>
          <w:rFonts w:ascii="Helvetica" w:cs="Helvetica" w:eastAsia="Helvetica" w:hAnsi="Helvetica"/>
        </w:rPr>
      </w:pPr>
      <w:r w:rsidDel="00000000" w:rsidR="00000000" w:rsidRPr="00000000">
        <w:rPr>
          <w:rFonts w:ascii="Helvetica" w:cs="Helvetica" w:eastAsia="Helvetica" w:hAnsi="Helvetica"/>
          <w:highlight w:val="white"/>
          <w:rtl w:val="0"/>
        </w:rPr>
        <w:t xml:space="preserve">Decarbonisation surveys continued in 2023-24 and the works following the successful application for funding from the Public Sector Decarbonisation Scheme continued to the Design and Feasibility stage. The introduction of ‘Green Technologies’ at the Sutton Youth Centre will be completed in November 2024</w:t>
      </w:r>
    </w:p>
    <w:p w:rsidR="00000000" w:rsidDel="00000000" w:rsidP="00000000" w:rsidRDefault="00000000" w:rsidRPr="00000000" w14:paraId="00000172">
      <w:pPr>
        <w:pageBreakBefore w:val="0"/>
        <w:numPr>
          <w:ilvl w:val="0"/>
          <w:numId w:val="1"/>
        </w:numPr>
        <w:spacing w:line="276" w:lineRule="auto"/>
        <w:ind w:left="720" w:hanging="360"/>
        <w:jc w:val="both"/>
        <w:rPr>
          <w:rFonts w:ascii="Helvetica" w:cs="Helvetica" w:eastAsia="Helvetica" w:hAnsi="Helvetica"/>
        </w:rPr>
      </w:pPr>
      <w:r w:rsidDel="00000000" w:rsidR="00000000" w:rsidRPr="00000000">
        <w:rPr>
          <w:rFonts w:ascii="Helvetica" w:cs="Helvetica" w:eastAsia="Helvetica" w:hAnsi="Helvetica"/>
          <w:highlight w:val="white"/>
          <w:rtl w:val="0"/>
        </w:rPr>
        <w:t xml:space="preserve">Investment Grade Audits continued during 2023-24 in the commercial portfolio</w:t>
      </w:r>
      <w:r w:rsidDel="00000000" w:rsidR="00000000" w:rsidRPr="00000000">
        <w:rPr>
          <w:rFonts w:ascii="Helvetica" w:cs="Helvetica" w:eastAsia="Helvetica" w:hAnsi="Helvetica"/>
          <w:highlight w:val="white"/>
          <w:rtl w:val="0"/>
        </w:rPr>
        <w:t xml:space="preserve">.</w:t>
      </w:r>
      <w:r w:rsidDel="00000000" w:rsidR="00000000" w:rsidRPr="00000000">
        <w:rPr>
          <w:rtl w:val="0"/>
        </w:rPr>
      </w:r>
    </w:p>
    <w:p w:rsidR="00000000" w:rsidDel="00000000" w:rsidP="00000000" w:rsidRDefault="00000000" w:rsidRPr="00000000" w14:paraId="00000173">
      <w:pPr>
        <w:pageBreakBefore w:val="0"/>
        <w:spacing w:line="276" w:lineRule="auto"/>
        <w:jc w:val="both"/>
        <w:rPr>
          <w:rFonts w:ascii="Roboto" w:cs="Roboto" w:eastAsia="Roboto" w:hAnsi="Roboto"/>
          <w:color w:val="777777"/>
          <w:sz w:val="21"/>
          <w:szCs w:val="21"/>
          <w:highlight w:val="white"/>
        </w:rPr>
      </w:pPr>
      <w:r w:rsidDel="00000000" w:rsidR="00000000" w:rsidRPr="00000000">
        <w:rPr>
          <w:rtl w:val="0"/>
        </w:rPr>
      </w:r>
    </w:p>
    <w:bookmarkStart w:colFirst="0" w:colLast="0" w:name="4th5yfgzoib4" w:id="37"/>
    <w:bookmarkEnd w:id="37"/>
    <w:p w:rsidR="00000000" w:rsidDel="00000000" w:rsidP="00000000" w:rsidRDefault="00000000" w:rsidRPr="00000000" w14:paraId="00000174">
      <w:pPr>
        <w:pStyle w:val="Heading2"/>
        <w:pageBreakBefore w:val="0"/>
        <w:numPr>
          <w:ilvl w:val="0"/>
          <w:numId w:val="5"/>
        </w:numPr>
        <w:spacing w:line="360" w:lineRule="auto"/>
        <w:ind w:left="720" w:hanging="360"/>
        <w:jc w:val="both"/>
        <w:rPr/>
      </w:pPr>
      <w:bookmarkStart w:colFirst="0" w:colLast="0" w:name="_1340t2v55ais" w:id="38"/>
      <w:bookmarkEnd w:id="38"/>
      <w:r w:rsidDel="00000000" w:rsidR="00000000" w:rsidRPr="00000000">
        <w:rPr>
          <w:rtl w:val="0"/>
        </w:rPr>
        <w:t xml:space="preserve">Additional Information</w:t>
      </w:r>
    </w:p>
    <w:bookmarkStart w:colFirst="0" w:colLast="0" w:name="xcztrpbbl44p" w:id="39"/>
    <w:bookmarkEnd w:id="39"/>
    <w:p w:rsidR="00000000" w:rsidDel="00000000" w:rsidP="00000000" w:rsidRDefault="00000000" w:rsidRPr="00000000" w14:paraId="00000175">
      <w:pPr>
        <w:pStyle w:val="Heading3"/>
        <w:pageBreakBefore w:val="0"/>
        <w:numPr>
          <w:ilvl w:val="1"/>
          <w:numId w:val="5"/>
        </w:numPr>
        <w:spacing w:line="276" w:lineRule="auto"/>
        <w:ind w:left="1440" w:hanging="360"/>
        <w:jc w:val="both"/>
        <w:rPr/>
      </w:pPr>
      <w:bookmarkStart w:colFirst="0" w:colLast="0" w:name="_4omfn2n5rtm2" w:id="40"/>
      <w:bookmarkEnd w:id="40"/>
      <w:r w:rsidDel="00000000" w:rsidR="00000000" w:rsidRPr="00000000">
        <w:rPr>
          <w:rtl w:val="0"/>
        </w:rPr>
        <w:t xml:space="preserve">Recalculation Policy</w:t>
      </w:r>
      <w:r w:rsidDel="00000000" w:rsidR="00000000" w:rsidRPr="00000000">
        <w:rPr>
          <w:rtl w:val="0"/>
        </w:rPr>
      </w:r>
    </w:p>
    <w:p w:rsidR="00000000" w:rsidDel="00000000" w:rsidP="00000000" w:rsidRDefault="00000000" w:rsidRPr="00000000" w14:paraId="00000176">
      <w:pPr>
        <w:pageBreakBefore w:val="0"/>
        <w:spacing w:after="200" w:lineRule="auto"/>
        <w:jc w:val="both"/>
        <w:rPr>
          <w:rFonts w:ascii="Helvetica" w:cs="Helvetica" w:eastAsia="Helvetica" w:hAnsi="Helvetica"/>
          <w:vertAlign w:val="baseline"/>
        </w:rPr>
      </w:pPr>
      <w:r w:rsidDel="00000000" w:rsidR="00000000" w:rsidRPr="00000000">
        <w:rPr>
          <w:rFonts w:ascii="Helvetica" w:cs="Helvetica" w:eastAsia="Helvetica" w:hAnsi="Helvetica"/>
          <w:vertAlign w:val="baseline"/>
          <w:rtl w:val="0"/>
        </w:rPr>
        <w:t xml:space="preserve">We have a fixed base year of 2008 </w:t>
      </w:r>
      <w:r w:rsidDel="00000000" w:rsidR="00000000" w:rsidRPr="00000000">
        <w:rPr>
          <w:rFonts w:ascii="Helvetica" w:cs="Helvetica" w:eastAsia="Helvetica" w:hAnsi="Helvetica"/>
          <w:rtl w:val="0"/>
        </w:rPr>
        <w:t xml:space="preserve">which</w:t>
      </w:r>
      <w:r w:rsidDel="00000000" w:rsidR="00000000" w:rsidRPr="00000000">
        <w:rPr>
          <w:rFonts w:ascii="Helvetica" w:cs="Helvetica" w:eastAsia="Helvetica" w:hAnsi="Helvetica"/>
          <w:vertAlign w:val="baseline"/>
          <w:rtl w:val="0"/>
        </w:rPr>
        <w:t xml:space="preserve"> was chosen </w:t>
      </w:r>
      <w:r w:rsidDel="00000000" w:rsidR="00000000" w:rsidRPr="00000000">
        <w:rPr>
          <w:rFonts w:ascii="Helvetica" w:cs="Helvetica" w:eastAsia="Helvetica" w:hAnsi="Helvetica"/>
          <w:color w:val="000000"/>
          <w:vertAlign w:val="baseline"/>
          <w:rtl w:val="0"/>
        </w:rPr>
        <w:t xml:space="preserve">in line with reporting requirements for National Indicator 185: “Carbon emissions from Local Authority Estate and Operations”. We have </w:t>
      </w:r>
      <w:r w:rsidDel="00000000" w:rsidR="00000000" w:rsidRPr="00000000">
        <w:rPr>
          <w:rFonts w:ascii="Helvetica" w:cs="Helvetica" w:eastAsia="Helvetica" w:hAnsi="Helvetica"/>
          <w:rtl w:val="0"/>
        </w:rPr>
        <w:t xml:space="preserve">continued to use this baseline to allow the comparison of data with previous reporting. </w:t>
      </w:r>
      <w:r w:rsidDel="00000000" w:rsidR="00000000" w:rsidRPr="00000000">
        <w:rPr>
          <w:rtl w:val="0"/>
        </w:rPr>
      </w:r>
    </w:p>
    <w:p w:rsidR="00000000" w:rsidDel="00000000" w:rsidP="00000000" w:rsidRDefault="00000000" w:rsidRPr="00000000" w14:paraId="00000177">
      <w:pPr>
        <w:pageBreakBefore w:val="0"/>
        <w:spacing w:after="200" w:lineRule="auto"/>
        <w:jc w:val="both"/>
        <w:rPr>
          <w:rFonts w:ascii="Helvetica" w:cs="Helvetica" w:eastAsia="Helvetica" w:hAnsi="Helvetica"/>
          <w:vertAlign w:val="baseline"/>
        </w:rPr>
      </w:pPr>
      <w:r w:rsidDel="00000000" w:rsidR="00000000" w:rsidRPr="00000000">
        <w:rPr>
          <w:rFonts w:ascii="Helvetica" w:cs="Helvetica" w:eastAsia="Helvetica" w:hAnsi="Helvetica"/>
          <w:vertAlign w:val="baseline"/>
          <w:rtl w:val="0"/>
        </w:rPr>
        <w:t xml:space="preserve">Our base year calculation policy is to recalculate </w:t>
      </w:r>
      <w:r w:rsidDel="00000000" w:rsidR="00000000" w:rsidRPr="00000000">
        <w:rPr>
          <w:rFonts w:ascii="Helvetica" w:cs="Helvetica" w:eastAsia="Helvetica" w:hAnsi="Helvetica"/>
          <w:rtl w:val="0"/>
        </w:rPr>
        <w:t xml:space="preserve">the</w:t>
      </w:r>
      <w:r w:rsidDel="00000000" w:rsidR="00000000" w:rsidRPr="00000000">
        <w:rPr>
          <w:rFonts w:ascii="Helvetica" w:cs="Helvetica" w:eastAsia="Helvetica" w:hAnsi="Helvetica"/>
          <w:vertAlign w:val="baseline"/>
          <w:rtl w:val="0"/>
        </w:rPr>
        <w:t xml:space="preserve"> base year and the prior year emissions for relevant significant changes. This is de</w:t>
      </w:r>
      <w:r w:rsidDel="00000000" w:rsidR="00000000" w:rsidRPr="00000000">
        <w:rPr>
          <w:rFonts w:ascii="Helvetica" w:cs="Helvetica" w:eastAsia="Helvetica" w:hAnsi="Helvetica"/>
          <w:rtl w:val="0"/>
        </w:rPr>
        <w:t xml:space="preserve">fined as changes</w:t>
      </w:r>
      <w:r w:rsidDel="00000000" w:rsidR="00000000" w:rsidRPr="00000000">
        <w:rPr>
          <w:rFonts w:ascii="Helvetica" w:cs="Helvetica" w:eastAsia="Helvetica" w:hAnsi="Helvetica"/>
          <w:vertAlign w:val="baseline"/>
          <w:rtl w:val="0"/>
        </w:rPr>
        <w:t xml:space="preserve"> which meet our significance threshold of 5% of total base year emissions. </w:t>
      </w:r>
    </w:p>
    <w:p w:rsidR="00000000" w:rsidDel="00000000" w:rsidP="00000000" w:rsidRDefault="00000000" w:rsidRPr="00000000" w14:paraId="00000178">
      <w:pPr>
        <w:pageBreakBefore w:val="0"/>
        <w:spacing w:after="200" w:lineRule="auto"/>
        <w:jc w:val="both"/>
        <w:rPr>
          <w:rFonts w:ascii="Helvetica" w:cs="Helvetica" w:eastAsia="Helvetica" w:hAnsi="Helvetica"/>
        </w:rPr>
      </w:pPr>
      <w:r w:rsidDel="00000000" w:rsidR="00000000" w:rsidRPr="00000000">
        <w:rPr>
          <w:rFonts w:ascii="Helvetica" w:cs="Helvetica" w:eastAsia="Helvetica" w:hAnsi="Helvetica"/>
          <w:rtl w:val="0"/>
        </w:rPr>
        <w:t xml:space="preserve">Schools in the borough continue to convert from maintained (Community) to non-maintained (Academy) status. If a school converts from maintained to non-maintained within the reporting year, it will be considered out of scope and will not be included in results. In order to ensure we compare on a ‘like for like’ basis, any school that is not included in the current reporting year will also be removed from the 2008/09 baseline and subsequent years.</w:t>
      </w:r>
    </w:p>
    <w:p w:rsidR="00000000" w:rsidDel="00000000" w:rsidP="00000000" w:rsidRDefault="00000000" w:rsidRPr="00000000" w14:paraId="00000179">
      <w:pPr>
        <w:pageBreakBefore w:val="0"/>
        <w:jc w:val="both"/>
        <w:rPr>
          <w:rFonts w:ascii="Helvetica" w:cs="Helvetica" w:eastAsia="Helvetica" w:hAnsi="Helvetica"/>
        </w:rPr>
      </w:pPr>
      <w:r w:rsidDel="00000000" w:rsidR="00000000" w:rsidRPr="00000000">
        <w:rPr>
          <w:rFonts w:ascii="Helvetica" w:cs="Helvetica" w:eastAsia="Helvetica" w:hAnsi="Helvetica"/>
          <w:rtl w:val="0"/>
        </w:rPr>
        <w:t xml:space="preserve">As there were no significant changes to the estate during the reporting year and the number of schools with Academy status remained at 35, emissions have not been recalculated this year.</w:t>
      </w:r>
      <w:r w:rsidDel="00000000" w:rsidR="00000000" w:rsidRPr="00000000">
        <w:rPr>
          <w:rtl w:val="0"/>
        </w:rPr>
      </w:r>
    </w:p>
    <w:p w:rsidR="00000000" w:rsidDel="00000000" w:rsidP="00000000" w:rsidRDefault="00000000" w:rsidRPr="00000000" w14:paraId="0000017A">
      <w:pPr>
        <w:pageBreakBefore w:val="0"/>
        <w:jc w:val="both"/>
        <w:rPr>
          <w:rFonts w:ascii="Helvetica" w:cs="Helvetica" w:eastAsia="Helvetica" w:hAnsi="Helvetica"/>
        </w:rPr>
      </w:pPr>
      <w:r w:rsidDel="00000000" w:rsidR="00000000" w:rsidRPr="00000000">
        <w:rPr>
          <w:rFonts w:ascii="Helvetica" w:cs="Helvetica" w:eastAsia="Helvetica" w:hAnsi="Helvetica"/>
          <w:rtl w:val="0"/>
        </w:rPr>
        <w:t xml:space="preserve">Although the Council no longer delivers services from the site at 24 Denmark Road, it is currently still an owned asset and any emissions have been included.  </w:t>
      </w:r>
      <w:r w:rsidDel="00000000" w:rsidR="00000000" w:rsidRPr="00000000">
        <w:rPr>
          <w:rtl w:val="0"/>
        </w:rPr>
      </w:r>
    </w:p>
    <w:bookmarkStart w:colFirst="0" w:colLast="0" w:name="xbvq89o8cx6p" w:id="41"/>
    <w:bookmarkEnd w:id="41"/>
    <w:p w:rsidR="00000000" w:rsidDel="00000000" w:rsidP="00000000" w:rsidRDefault="00000000" w:rsidRPr="00000000" w14:paraId="0000017B">
      <w:pPr>
        <w:pStyle w:val="Heading3"/>
        <w:pageBreakBefore w:val="0"/>
        <w:numPr>
          <w:ilvl w:val="1"/>
          <w:numId w:val="5"/>
        </w:numPr>
        <w:spacing w:line="276" w:lineRule="auto"/>
        <w:ind w:left="1440" w:hanging="360"/>
        <w:jc w:val="both"/>
        <w:rPr/>
      </w:pPr>
      <w:bookmarkStart w:colFirst="0" w:colLast="0" w:name="_g3k4anhfghay" w:id="42"/>
      <w:bookmarkEnd w:id="42"/>
      <w:r w:rsidDel="00000000" w:rsidR="00000000" w:rsidRPr="00000000">
        <w:rPr>
          <w:rtl w:val="0"/>
        </w:rPr>
        <w:t xml:space="preserve">Intensity Measure</w:t>
      </w:r>
      <w:r w:rsidDel="00000000" w:rsidR="00000000" w:rsidRPr="00000000">
        <w:rPr>
          <w:rtl w:val="0"/>
        </w:rPr>
      </w:r>
    </w:p>
    <w:p w:rsidR="00000000" w:rsidDel="00000000" w:rsidP="00000000" w:rsidRDefault="00000000" w:rsidRPr="00000000" w14:paraId="0000017C">
      <w:pPr>
        <w:pageBreakBefore w:val="0"/>
        <w:jc w:val="both"/>
        <w:rPr>
          <w:rFonts w:ascii="Helvetica" w:cs="Helvetica" w:eastAsia="Helvetica" w:hAnsi="Helvetica"/>
          <w:vertAlign w:val="baseline"/>
        </w:rPr>
      </w:pPr>
      <w:r w:rsidDel="00000000" w:rsidR="00000000" w:rsidRPr="00000000">
        <w:rPr>
          <w:rFonts w:ascii="Helvetica" w:cs="Helvetica" w:eastAsia="Helvetica" w:hAnsi="Helvetica"/>
          <w:vertAlign w:val="baseline"/>
          <w:rtl w:val="0"/>
        </w:rPr>
        <w:t xml:space="preserve">We have chosen ‘kilograms of CO</w:t>
      </w:r>
      <w:r w:rsidDel="00000000" w:rsidR="00000000" w:rsidRPr="00000000">
        <w:rPr>
          <w:rFonts w:ascii="Helvetica" w:cs="Helvetica" w:eastAsia="Helvetica" w:hAnsi="Helvetica"/>
          <w:vertAlign w:val="subscript"/>
          <w:rtl w:val="0"/>
        </w:rPr>
        <w:t xml:space="preserve">2</w:t>
      </w:r>
      <w:r w:rsidDel="00000000" w:rsidR="00000000" w:rsidRPr="00000000">
        <w:rPr>
          <w:rFonts w:ascii="Helvetica" w:cs="Helvetica" w:eastAsia="Helvetica" w:hAnsi="Helvetica"/>
          <w:vertAlign w:val="baseline"/>
          <w:rtl w:val="0"/>
        </w:rPr>
        <w:t xml:space="preserve">e per square metre of gross internal area (GIA)’ as this is a common activity ratio in our sector.</w:t>
      </w:r>
    </w:p>
    <w:p w:rsidR="00000000" w:rsidDel="00000000" w:rsidP="00000000" w:rsidRDefault="00000000" w:rsidRPr="00000000" w14:paraId="0000017D">
      <w:pPr>
        <w:pageBreakBefore w:val="0"/>
        <w:ind w:left="567" w:firstLine="0"/>
        <w:jc w:val="both"/>
        <w:rPr>
          <w:rFonts w:ascii="Helvetica" w:cs="Helvetica" w:eastAsia="Helvetica" w:hAnsi="Helvetica"/>
          <w:vertAlign w:val="baseline"/>
        </w:rPr>
      </w:pPr>
      <w:r w:rsidDel="00000000" w:rsidR="00000000" w:rsidRPr="00000000">
        <w:rPr>
          <w:rtl w:val="0"/>
        </w:rPr>
      </w:r>
    </w:p>
    <w:bookmarkStart w:colFirst="0" w:colLast="0" w:name="y3w6623y2weq" w:id="43"/>
    <w:bookmarkEnd w:id="43"/>
    <w:p w:rsidR="00000000" w:rsidDel="00000000" w:rsidP="00000000" w:rsidRDefault="00000000" w:rsidRPr="00000000" w14:paraId="0000017E">
      <w:pPr>
        <w:pStyle w:val="Heading3"/>
        <w:pageBreakBefore w:val="0"/>
        <w:numPr>
          <w:ilvl w:val="1"/>
          <w:numId w:val="5"/>
        </w:numPr>
        <w:spacing w:line="276" w:lineRule="auto"/>
        <w:ind w:left="1440" w:hanging="360"/>
        <w:jc w:val="both"/>
        <w:rPr/>
      </w:pPr>
      <w:bookmarkStart w:colFirst="0" w:colLast="0" w:name="_q02gy4jndpyh" w:id="44"/>
      <w:bookmarkEnd w:id="44"/>
      <w:r w:rsidDel="00000000" w:rsidR="00000000" w:rsidRPr="00000000">
        <w:rPr>
          <w:rtl w:val="0"/>
        </w:rPr>
        <w:t xml:space="preserve">Carbon Offsets</w:t>
      </w:r>
      <w:r w:rsidDel="00000000" w:rsidR="00000000" w:rsidRPr="00000000">
        <w:rPr>
          <w:rtl w:val="0"/>
        </w:rPr>
      </w:r>
    </w:p>
    <w:p w:rsidR="00000000" w:rsidDel="00000000" w:rsidP="00000000" w:rsidRDefault="00000000" w:rsidRPr="00000000" w14:paraId="0000017F">
      <w:pPr>
        <w:pageBreakBefore w:val="0"/>
        <w:jc w:val="both"/>
        <w:rPr>
          <w:rFonts w:ascii="Helvetica" w:cs="Helvetica" w:eastAsia="Helvetica" w:hAnsi="Helvetica"/>
          <w:vertAlign w:val="baseline"/>
        </w:rPr>
      </w:pPr>
      <w:r w:rsidDel="00000000" w:rsidR="00000000" w:rsidRPr="00000000">
        <w:rPr>
          <w:rFonts w:ascii="Helvetica" w:cs="Helvetica" w:eastAsia="Helvetica" w:hAnsi="Helvetica"/>
          <w:vertAlign w:val="baseline"/>
          <w:rtl w:val="0"/>
        </w:rPr>
        <w:t xml:space="preserve">We have not purchased any carbon credits.</w:t>
      </w:r>
    </w:p>
    <w:p w:rsidR="00000000" w:rsidDel="00000000" w:rsidP="00000000" w:rsidRDefault="00000000" w:rsidRPr="00000000" w14:paraId="00000180">
      <w:pPr>
        <w:pageBreakBefore w:val="0"/>
        <w:jc w:val="both"/>
        <w:rPr>
          <w:rFonts w:ascii="Helvetica" w:cs="Helvetica" w:eastAsia="Helvetica" w:hAnsi="Helvetica"/>
        </w:rPr>
      </w:pPr>
      <w:r w:rsidDel="00000000" w:rsidR="00000000" w:rsidRPr="00000000">
        <w:rPr>
          <w:rtl w:val="0"/>
        </w:rPr>
      </w:r>
    </w:p>
    <w:bookmarkStart w:colFirst="0" w:colLast="0" w:name="sbnwtpc23m0x" w:id="45"/>
    <w:bookmarkEnd w:id="45"/>
    <w:p w:rsidR="00000000" w:rsidDel="00000000" w:rsidP="00000000" w:rsidRDefault="00000000" w:rsidRPr="00000000" w14:paraId="00000181">
      <w:pPr>
        <w:pStyle w:val="Heading3"/>
        <w:pageBreakBefore w:val="0"/>
        <w:numPr>
          <w:ilvl w:val="1"/>
          <w:numId w:val="5"/>
        </w:numPr>
        <w:spacing w:line="276" w:lineRule="auto"/>
        <w:ind w:left="1440" w:hanging="360"/>
        <w:jc w:val="both"/>
        <w:rPr/>
      </w:pPr>
      <w:bookmarkStart w:colFirst="0" w:colLast="0" w:name="_8wp2t9ip29w8" w:id="46"/>
      <w:bookmarkEnd w:id="46"/>
      <w:r w:rsidDel="00000000" w:rsidR="00000000" w:rsidRPr="00000000">
        <w:rPr>
          <w:rtl w:val="0"/>
        </w:rPr>
        <w:t xml:space="preserve">Green Tariffs</w:t>
      </w:r>
      <w:r w:rsidDel="00000000" w:rsidR="00000000" w:rsidRPr="00000000">
        <w:rPr>
          <w:rtl w:val="0"/>
        </w:rPr>
      </w:r>
    </w:p>
    <w:p w:rsidR="00000000" w:rsidDel="00000000" w:rsidP="00000000" w:rsidRDefault="00000000" w:rsidRPr="00000000" w14:paraId="00000182">
      <w:pPr>
        <w:pageBreakBefore w:val="0"/>
        <w:jc w:val="both"/>
        <w:rPr>
          <w:rFonts w:ascii="Helvetica" w:cs="Helvetica" w:eastAsia="Helvetica" w:hAnsi="Helvetica"/>
          <w:vertAlign w:val="baseline"/>
        </w:rPr>
      </w:pPr>
      <w:r w:rsidDel="00000000" w:rsidR="00000000" w:rsidRPr="00000000">
        <w:rPr>
          <w:rFonts w:ascii="Helvetica" w:cs="Helvetica" w:eastAsia="Helvetica" w:hAnsi="Helvetica"/>
          <w:vertAlign w:val="baseline"/>
          <w:rtl w:val="0"/>
        </w:rPr>
        <w:t xml:space="preserve">All electricity purchased by the Council is supplied through the LASER consortium (public sector energy buying group) on a green energy tariff, meaning it is generated from renewable resources. However, </w:t>
      </w:r>
      <w:r w:rsidDel="00000000" w:rsidR="00000000" w:rsidRPr="00000000">
        <w:rPr>
          <w:rFonts w:ascii="Helvetica" w:cs="Helvetica" w:eastAsia="Helvetica" w:hAnsi="Helvetica"/>
          <w:rtl w:val="0"/>
        </w:rPr>
        <w:t xml:space="preserve">this tariff does not meet the criteria set out by OFGEM </w:t>
      </w:r>
      <w:r w:rsidDel="00000000" w:rsidR="00000000" w:rsidRPr="00000000">
        <w:rPr>
          <w:rFonts w:ascii="Helvetica" w:cs="Helvetica" w:eastAsia="Helvetica" w:hAnsi="Helvetica"/>
          <w:vertAlign w:val="baseline"/>
          <w:rtl w:val="0"/>
        </w:rPr>
        <w:t xml:space="preserve">and as such</w:t>
      </w:r>
      <w:r w:rsidDel="00000000" w:rsidR="00000000" w:rsidRPr="00000000">
        <w:rPr>
          <w:rFonts w:ascii="Helvetica" w:cs="Helvetica" w:eastAsia="Helvetica" w:hAnsi="Helvetica"/>
          <w:rtl w:val="0"/>
        </w:rPr>
        <w:t xml:space="preserve">, </w:t>
      </w:r>
      <w:r w:rsidDel="00000000" w:rsidR="00000000" w:rsidRPr="00000000">
        <w:rPr>
          <w:rFonts w:ascii="Helvetica" w:cs="Helvetica" w:eastAsia="Helvetica" w:hAnsi="Helvetica"/>
          <w:vertAlign w:val="baseline"/>
          <w:rtl w:val="0"/>
        </w:rPr>
        <w:t xml:space="preserve">is not exempt from the climate change levy.</w:t>
      </w:r>
    </w:p>
    <w:sectPr>
      <w:type w:val="nextPage"/>
      <w:pgSz w:h="16838" w:w="11906" w:orient="portrait"/>
      <w:pgMar w:bottom="1134" w:top="1361" w:left="1797" w:right="1710"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709"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85">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This includes emissions from Scopes 1, 2 and 3 as well as out of scope emissions</w:t>
      </w:r>
    </w:p>
  </w:footnote>
  <w:footnote w:id="1">
    <w:p w:rsidR="00000000" w:rsidDel="00000000" w:rsidP="00000000" w:rsidRDefault="00000000" w:rsidRPr="00000000" w14:paraId="00000186">
      <w:pPr>
        <w:rPr>
          <w:sz w:val="20"/>
          <w:szCs w:val="20"/>
          <w:highlight w:val="white"/>
        </w:rPr>
      </w:pPr>
      <w:r w:rsidDel="00000000" w:rsidR="00000000" w:rsidRPr="00000000">
        <w:rPr>
          <w:rStyle w:val="FootnoteReference"/>
          <w:vertAlign w:val="superscript"/>
        </w:rPr>
        <w:footnoteRef/>
      </w:r>
      <w:r w:rsidDel="00000000" w:rsidR="00000000" w:rsidRPr="00000000">
        <w:rPr>
          <w:sz w:val="20"/>
          <w:szCs w:val="20"/>
          <w:highlight w:val="white"/>
          <w:rtl w:val="0"/>
        </w:rPr>
        <w:t xml:space="preserve">  In the 2019 GHG Conversion Factors, there was a 10% decrease in the UK Electricity CO2e factor compared to the previous year. In the 2020 update, the CO2e factor decreased (compared with 2019) again by 9%. In the 2021 update, the CO2e factor has again decreased by 9% (in comparison to the 2020 update). The above decreases are all due to a decrease in coal use in electricity generation and an increase in renewable generation. In the 2023 update, the UK Electricity CO2e factor has increased by 7% (compared to the 2022 update) due to an increase in natural gas use in electricity generation and a decrease in renewable generation.</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4">
    <w:lvl w:ilvl="0">
      <w:start w:val="2"/>
      <w:numFmt w:val="decimal"/>
      <w:lvlText w:val="%1."/>
      <w:lvlJc w:val="right"/>
      <w:pPr>
        <w:ind w:left="720" w:hanging="360"/>
      </w:pPr>
      <w:rPr>
        <w:rFonts w:ascii="Arial" w:cs="Arial" w:eastAsia="Arial" w:hAnsi="Arial"/>
        <w:b w:val="1"/>
        <w:u w:val="none"/>
      </w:rPr>
    </w:lvl>
    <w:lvl w:ilvl="1">
      <w:start w:val="1"/>
      <w:numFmt w:val="decimal"/>
      <w:lvlText w:val="%1.%2."/>
      <w:lvlJc w:val="right"/>
      <w:pPr>
        <w:ind w:left="1440" w:hanging="360"/>
      </w:pPr>
      <w:rPr>
        <w:sz w:val="24"/>
        <w:szCs w:val="24"/>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lvl w:ilvl="0">
      <w:start w:val="4"/>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yperlink" Target="https://www.sutton.gov.uk/documents/20124/449217/SUT_0201_Climate_Strategy_CERP_22_Updated+%281%29.pdf/1f91f8e4-e35c-c732-dcde-ba391eabed70?t=1678887438766" TargetMode="External"/><Relationship Id="rId9"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2.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